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v:background id="_x0000_s1025" o:bwmode="white" fillcolor="white [3212]" o:targetscreensize="1024,768">
      <v:fill color2="white [3212]" focusposition=".5,.5" focussize="" type="gradient"/>
    </v:background>
  </w:background>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1016"/>
        <w:gridCol w:w="2611"/>
      </w:tblGrid>
      <w:tr w:rsidR="003D59E3" w:rsidRPr="001164D6" w14:paraId="528278D5" w14:textId="77777777" w:rsidTr="003D59E3">
        <w:trPr>
          <w:jc w:val="center"/>
        </w:trPr>
        <w:tc>
          <w:tcPr>
            <w:tcW w:w="2599" w:type="dxa"/>
            <w:vAlign w:val="center"/>
          </w:tcPr>
          <w:p w14:paraId="467FC05C" w14:textId="06AB30D1" w:rsidR="003D59E3" w:rsidRPr="001164D6" w:rsidRDefault="003D59E3" w:rsidP="003D59E3">
            <w:pPr>
              <w:spacing w:before="240" w:after="120"/>
              <w:jc w:val="center"/>
              <w:rPr>
                <w:rFonts w:ascii="Arial" w:hAnsi="Arial" w:cs="Arial"/>
                <w:sz w:val="24"/>
                <w:szCs w:val="24"/>
              </w:rPr>
            </w:pPr>
          </w:p>
        </w:tc>
        <w:tc>
          <w:tcPr>
            <w:tcW w:w="1016" w:type="dxa"/>
          </w:tcPr>
          <w:p w14:paraId="39AB69AE" w14:textId="669B0932" w:rsidR="003D59E3" w:rsidRPr="001164D6" w:rsidRDefault="003D59E3" w:rsidP="003D59E3">
            <w:pPr>
              <w:spacing w:before="240" w:after="120"/>
              <w:jc w:val="center"/>
              <w:rPr>
                <w:rFonts w:ascii="Arial" w:hAnsi="Arial" w:cs="Arial"/>
                <w:noProof/>
                <w:sz w:val="24"/>
                <w:szCs w:val="24"/>
              </w:rPr>
            </w:pPr>
          </w:p>
        </w:tc>
        <w:tc>
          <w:tcPr>
            <w:tcW w:w="2611" w:type="dxa"/>
            <w:vAlign w:val="center"/>
          </w:tcPr>
          <w:p w14:paraId="2E035FE4" w14:textId="61985C0B" w:rsidR="003D59E3" w:rsidRPr="001164D6" w:rsidRDefault="003D59E3" w:rsidP="003D59E3">
            <w:pPr>
              <w:spacing w:before="240" w:after="120"/>
              <w:jc w:val="center"/>
              <w:rPr>
                <w:rFonts w:ascii="Arial" w:hAnsi="Arial" w:cs="Arial"/>
                <w:sz w:val="24"/>
                <w:szCs w:val="24"/>
              </w:rPr>
            </w:pPr>
          </w:p>
        </w:tc>
      </w:tr>
    </w:tbl>
    <w:p w14:paraId="6D97B910" w14:textId="6697DEC1" w:rsidR="00D06DC2" w:rsidRDefault="008A47B5" w:rsidP="00D06DC2">
      <w:pPr>
        <w:rPr>
          <w:rFonts w:ascii="Arial" w:hAnsi="Arial" w:cs="Arial"/>
          <w:lang w:val="fr-FR"/>
        </w:rPr>
      </w:pPr>
      <w:r>
        <w:rPr>
          <w:rFonts w:ascii="Arial" w:hAnsi="Arial" w:cs="Arial"/>
          <w:noProof/>
          <w:lang w:val="fr-FR"/>
        </w:rPr>
        <mc:AlternateContent>
          <mc:Choice Requires="wps">
            <w:drawing>
              <wp:anchor distT="0" distB="0" distL="114300" distR="114300" simplePos="0" relativeHeight="251659264" behindDoc="0" locked="0" layoutInCell="1" allowOverlap="1" wp14:anchorId="6B497F82" wp14:editId="4FA0EC81">
                <wp:simplePos x="0" y="0"/>
                <wp:positionH relativeFrom="margin">
                  <wp:align>center</wp:align>
                </wp:positionH>
                <wp:positionV relativeFrom="margin">
                  <wp:align>center</wp:align>
                </wp:positionV>
                <wp:extent cx="6167755" cy="1595755"/>
                <wp:effectExtent l="19050" t="57150" r="42545" b="42545"/>
                <wp:wrapSquare wrapText="bothSides"/>
                <wp:docPr id="1" name="Rectangle 1"/>
                <wp:cNvGraphicFramePr/>
                <a:graphic xmlns:a="http://schemas.openxmlformats.org/drawingml/2006/main">
                  <a:graphicData uri="http://schemas.microsoft.com/office/word/2010/wordprocessingShape">
                    <wps:wsp>
                      <wps:cNvSpPr/>
                      <wps:spPr>
                        <a:xfrm>
                          <a:off x="0" y="0"/>
                          <a:ext cx="6167755" cy="1595755"/>
                        </a:xfrm>
                        <a:prstGeom prst="rect">
                          <a:avLst/>
                        </a:prstGeom>
                        <a:noFill/>
                        <a:ln>
                          <a:noFill/>
                        </a:ln>
                        <a:effectLst/>
                        <a:scene3d>
                          <a:camera prst="perspectiveFront"/>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14:paraId="4D1E39CF" w14:textId="5645C201" w:rsidR="008A47B5" w:rsidRPr="008A47B5" w:rsidRDefault="008A47B5" w:rsidP="008A47B5">
                            <w:pPr>
                              <w:jc w:val="center"/>
                              <w:rPr>
                                <w:rFonts w:ascii="Arial" w:hAnsi="Arial" w:cs="Arial"/>
                                <w:b/>
                                <w:bCs/>
                                <w:color w:val="000000" w:themeColor="text1"/>
                                <w:sz w:val="48"/>
                                <w:szCs w:val="48"/>
                                <w:lang w:val="fr-FR"/>
                                <w14:props3d w14:extrusionH="57150" w14:contourW="0" w14:prstMaterial="warmMatte">
                                  <w14:bevelT w14:w="50800" w14:h="38100" w14:prst="riblet"/>
                                </w14:props3d>
                              </w:rPr>
                            </w:pPr>
                            <w:r w:rsidRPr="008A47B5">
                              <w:rPr>
                                <w:rFonts w:ascii="Arial" w:hAnsi="Arial" w:cs="Arial"/>
                                <w:b/>
                                <w:bCs/>
                                <w:color w:val="000000" w:themeColor="text1"/>
                                <w:sz w:val="48"/>
                                <w:szCs w:val="48"/>
                                <w:lang w:val="fr-FR"/>
                                <w14:props3d w14:extrusionH="57150" w14:contourW="0" w14:prstMaterial="warmMatte">
                                  <w14:bevelT w14:w="50800" w14:h="38100" w14:prst="riblet"/>
                                </w14:props3d>
                              </w:rPr>
                              <w:t>LES RATIOS D’EFFICACITE DES ACTIFS ET BESOIN DE FINANCEMENT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6B497F82" id="Rectangle 1" o:spid="_x0000_s1026" style="position:absolute;margin-left:0;margin-top:0;width:485.65pt;height:125.6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" filled="f" stroked="f" strokeweight="2pt">
                <o:extrusion v:ext="view" viewpoint="0,0" viewpointorigin="0,0" skewangle="45" skewamt="0" type="perspective"/>
                <v:textbox>
                  <w:txbxContent>
                    <w:p w14:paraId="4D1E39CF" w14:textId="5645C201" w:rsidR="008A47B5" w:rsidRPr="008A47B5" w:rsidRDefault="008A47B5" w:rsidP="008A47B5">
                      <w:pPr>
                        <w:jc w:val="center"/>
                        <w:rPr>
                          <w:rFonts w:ascii="Arial" w:hAnsi="Arial" w:cs="Arial"/>
                          <w:b/>
                          <w:bCs/>
                          <w:color w:val="000000" w:themeColor="text1"/>
                          <w:sz w:val="48"/>
                          <w:szCs w:val="48"/>
                          <w:lang w:val="fr-FR"/>
                          <w14:props3d w14:extrusionH="57150" w14:contourW="0" w14:prstMaterial="warmMatte">
                            <w14:bevelT w14:w="50800" w14:h="38100" w14:prst="riblet"/>
                          </w14:props3d>
                        </w:rPr>
                      </w:pPr>
                      <w:r w:rsidRPr="008A47B5">
                        <w:rPr>
                          <w:rFonts w:ascii="Arial" w:hAnsi="Arial" w:cs="Arial"/>
                          <w:b/>
                          <w:bCs/>
                          <w:color w:val="000000" w:themeColor="text1"/>
                          <w:sz w:val="48"/>
                          <w:szCs w:val="48"/>
                          <w:lang w:val="fr-FR"/>
                          <w14:props3d w14:extrusionH="57150" w14:contourW="0" w14:prstMaterial="warmMatte">
                            <w14:bevelT w14:w="50800" w14:h="38100" w14:prst="riblet"/>
                          </w14:props3d>
                        </w:rPr>
                        <w:t>LES RATIOS D’EFFICACITE DES ACTIFS ET BESOIN DE FINANCEMENT GLOBAL</w:t>
                      </w:r>
                    </w:p>
                  </w:txbxContent>
                </v:textbox>
                <w10:wrap type="square" anchorx="margin" anchory="margin"/>
              </v:rect>
            </w:pict>
          </mc:Fallback>
        </mc:AlternateContent>
      </w:r>
    </w:p>
    <w:p w14:paraId="3681CC2C" w14:textId="77777777" w:rsidR="00D06DC2" w:rsidRDefault="00D06DC2" w:rsidP="00D06DC2">
      <w:pPr>
        <w:rPr>
          <w:rFonts w:ascii="Arial" w:hAnsi="Arial" w:cs="Arial"/>
          <w:lang w:val="fr-FR"/>
        </w:rPr>
        <w:sectPr w:rsidR="00D06DC2" w:rsidSect="00081DD4">
          <w:headerReference w:type="default" r:id="rId12"/>
          <w:footerReference w:type="default" r:id="rId13"/>
          <w:pgSz w:w="12240" w:h="15840"/>
          <w:pgMar w:top="1417" w:right="1417" w:bottom="1417" w:left="1417" w:header="708" w:footer="708" w:gutter="0"/>
          <w:cols w:space="708"/>
          <w:docGrid w:linePitch="360"/>
        </w:sectPr>
      </w:pPr>
    </w:p>
    <w:p w14:paraId="33572E4A" w14:textId="77777777" w:rsidR="00D06DC2" w:rsidRPr="004B2FB5" w:rsidRDefault="00D06DC2" w:rsidP="00D06DC2">
      <w:pPr>
        <w:rPr>
          <w:rFonts w:ascii="Arial" w:hAnsi="Arial" w:cs="Arial"/>
          <w:b/>
          <w:bCs/>
          <w:sz w:val="10"/>
          <w:szCs w:val="10"/>
          <w:lang w:val="fr-FR"/>
        </w:rPr>
      </w:pPr>
    </w:p>
    <w:p w14:paraId="4CFAD72B" w14:textId="7E8CE95A" w:rsidR="00D06DC2" w:rsidRPr="00D06DC2" w:rsidRDefault="00D06DC2" w:rsidP="00D06DC2">
      <w:pPr>
        <w:rPr>
          <w:rFonts w:ascii="Arial" w:hAnsi="Arial" w:cs="Arial"/>
          <w:b/>
          <w:bCs/>
          <w:lang w:val="fr-FR"/>
        </w:rPr>
      </w:pPr>
      <w:r w:rsidRPr="00D06DC2">
        <w:rPr>
          <w:rFonts w:ascii="Arial" w:hAnsi="Arial" w:cs="Arial"/>
          <w:b/>
          <w:bCs/>
          <w:lang w:val="fr-FR"/>
        </w:rPr>
        <w:t>LES RATIOS</w:t>
      </w:r>
      <w:r w:rsidR="001A30AC">
        <w:rPr>
          <w:rFonts w:ascii="Arial" w:hAnsi="Arial" w:cs="Arial"/>
          <w:b/>
          <w:bCs/>
          <w:lang w:val="fr-FR"/>
        </w:rPr>
        <w:t xml:space="preserve"> D’</w:t>
      </w:r>
      <w:r w:rsidR="001A30AC" w:rsidRPr="001A30AC">
        <w:rPr>
          <w:rFonts w:ascii="Arial" w:hAnsi="Arial" w:cs="Arial"/>
          <w:b/>
          <w:bCs/>
          <w:lang w:val="fr-FR"/>
        </w:rPr>
        <w:t>EFFICACITE DES ACTIFS ET BESOIN DE FINANCEMENT GLOBAL</w:t>
      </w:r>
    </w:p>
    <w:tbl>
      <w:tblPr>
        <w:tblStyle w:val="Grilledutableau"/>
        <w:tblW w:w="14312" w:type="dxa"/>
        <w:jc w:val="center"/>
        <w:tblLook w:val="04A0" w:firstRow="1" w:lastRow="0" w:firstColumn="1" w:lastColumn="0" w:noHBand="0" w:noVBand="1"/>
      </w:tblPr>
      <w:tblGrid>
        <w:gridCol w:w="2547"/>
        <w:gridCol w:w="5812"/>
        <w:gridCol w:w="5953"/>
      </w:tblGrid>
      <w:tr w:rsidR="001A30AC" w:rsidRPr="00B614EE" w14:paraId="1EBD578B" w14:textId="77777777" w:rsidTr="00786F53">
        <w:trPr>
          <w:jc w:val="center"/>
        </w:trPr>
        <w:tc>
          <w:tcPr>
            <w:tcW w:w="2547" w:type="dxa"/>
          </w:tcPr>
          <w:p w14:paraId="194FA284" w14:textId="4650490C" w:rsidR="001A30AC" w:rsidRPr="008A47B5" w:rsidRDefault="001A30AC" w:rsidP="008A47B5">
            <w:pPr>
              <w:jc w:val="center"/>
              <w:rPr>
                <w:rFonts w:ascii="Constantia" w:hAnsi="Constantia" w:cs="Arial"/>
                <w:b/>
                <w:bCs/>
                <w:sz w:val="20"/>
                <w:szCs w:val="20"/>
                <w:lang w:val="fr-FR"/>
              </w:rPr>
            </w:pPr>
            <w:r w:rsidRPr="008A47B5">
              <w:rPr>
                <w:rFonts w:ascii="Constantia" w:hAnsi="Constantia" w:cs="Arial"/>
                <w:b/>
                <w:bCs/>
                <w:sz w:val="20"/>
                <w:szCs w:val="20"/>
                <w:lang w:val="fr-FR"/>
              </w:rPr>
              <w:t>RATIOS</w:t>
            </w:r>
          </w:p>
        </w:tc>
        <w:tc>
          <w:tcPr>
            <w:tcW w:w="5812" w:type="dxa"/>
          </w:tcPr>
          <w:p w14:paraId="1F1A4FD0" w14:textId="1DD2EBB0" w:rsidR="001A30AC" w:rsidRPr="00B614EE" w:rsidRDefault="001A30AC" w:rsidP="00D06DC2">
            <w:pPr>
              <w:rPr>
                <w:rFonts w:ascii="Constantia" w:hAnsi="Constantia" w:cs="Arial"/>
                <w:b/>
                <w:bCs/>
                <w:sz w:val="18"/>
                <w:szCs w:val="18"/>
                <w:lang w:val="fr-FR"/>
              </w:rPr>
            </w:pPr>
            <w:r w:rsidRPr="00B614EE">
              <w:rPr>
                <w:rFonts w:ascii="Constantia" w:hAnsi="Constantia" w:cs="Arial"/>
                <w:b/>
                <w:bCs/>
                <w:sz w:val="18"/>
                <w:szCs w:val="18"/>
                <w:lang w:val="fr-FR"/>
              </w:rPr>
              <w:t>FORMULE</w:t>
            </w:r>
          </w:p>
        </w:tc>
        <w:tc>
          <w:tcPr>
            <w:tcW w:w="5953" w:type="dxa"/>
          </w:tcPr>
          <w:p w14:paraId="4F749855" w14:textId="6605E30D" w:rsidR="001A30AC" w:rsidRPr="00B614EE" w:rsidRDefault="001A30AC" w:rsidP="00A722BF">
            <w:pPr>
              <w:jc w:val="both"/>
              <w:rPr>
                <w:rFonts w:ascii="Constantia" w:hAnsi="Constantia" w:cs="Arial"/>
                <w:b/>
                <w:bCs/>
                <w:sz w:val="18"/>
                <w:szCs w:val="18"/>
                <w:lang w:val="fr-FR"/>
              </w:rPr>
            </w:pPr>
            <w:r w:rsidRPr="00B614EE">
              <w:rPr>
                <w:rFonts w:ascii="Constantia" w:hAnsi="Constantia" w:cs="Arial"/>
                <w:b/>
                <w:bCs/>
                <w:sz w:val="18"/>
                <w:szCs w:val="18"/>
                <w:lang w:val="fr-FR"/>
              </w:rPr>
              <w:t>SENS ECONOMIQUE</w:t>
            </w:r>
          </w:p>
        </w:tc>
      </w:tr>
      <w:tr w:rsidR="001A30AC" w:rsidRPr="00FE43CD" w14:paraId="4DB5A0EE" w14:textId="77777777" w:rsidTr="00786F53">
        <w:trPr>
          <w:jc w:val="center"/>
        </w:trPr>
        <w:tc>
          <w:tcPr>
            <w:tcW w:w="2547" w:type="dxa"/>
            <w:vAlign w:val="center"/>
          </w:tcPr>
          <w:p w14:paraId="0DD3E001" w14:textId="08C93DD4"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Variation du chiffre d’affaires</w:t>
            </w:r>
          </w:p>
        </w:tc>
        <w:tc>
          <w:tcPr>
            <w:tcW w:w="5812" w:type="dxa"/>
            <w:vAlign w:val="center"/>
          </w:tcPr>
          <w:p w14:paraId="14453280" w14:textId="407ADF3F" w:rsidR="001A30AC" w:rsidRPr="00B614EE" w:rsidRDefault="00356F0C" w:rsidP="00D227F8">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sSub>
                      <m:sSubPr>
                        <m:ctrlPr>
                          <w:rPr>
                            <w:rFonts w:ascii="Cambria Math" w:hAnsi="Cambria Math" w:cs="Arial"/>
                            <w:i/>
                            <w:sz w:val="18"/>
                            <w:szCs w:val="18"/>
                            <w:lang w:val="fr-FR"/>
                          </w:rPr>
                        </m:ctrlPr>
                      </m:sSubPr>
                      <m:e>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HT</m:t>
                        </m:r>
                      </m:e>
                      <m:sub>
                        <m:r>
                          <w:rPr>
                            <w:rFonts w:ascii="Cambria Math" w:hAnsi="Cambria Math" w:cs="Arial"/>
                            <w:sz w:val="18"/>
                            <w:szCs w:val="18"/>
                            <w:lang w:val="fr-FR"/>
                          </w:rPr>
                          <m:t>N</m:t>
                        </m:r>
                      </m:sub>
                    </m:sSub>
                    <m:r>
                      <w:rPr>
                        <w:rFonts w:ascii="Cambria Math" w:hAnsi="Cambria Math" w:cs="Arial"/>
                        <w:sz w:val="18"/>
                        <w:szCs w:val="18"/>
                        <w:lang w:val="fr-FR"/>
                      </w:rPr>
                      <m:t>-</m:t>
                    </m:r>
                    <m:sSub>
                      <m:sSubPr>
                        <m:ctrlPr>
                          <w:rPr>
                            <w:rFonts w:ascii="Cambria Math" w:hAnsi="Cambria Math" w:cs="Arial"/>
                            <w:i/>
                            <w:sz w:val="18"/>
                            <w:szCs w:val="18"/>
                            <w:lang w:val="fr-FR"/>
                          </w:rPr>
                        </m:ctrlPr>
                      </m:sSubPr>
                      <m:e>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HT</m:t>
                        </m:r>
                      </m:e>
                      <m:sub>
                        <m:r>
                          <w:rPr>
                            <w:rFonts w:ascii="Cambria Math" w:hAnsi="Cambria Math" w:cs="Arial"/>
                            <w:sz w:val="18"/>
                            <w:szCs w:val="18"/>
                            <w:lang w:val="fr-FR"/>
                          </w:rPr>
                          <m:t>N-1</m:t>
                        </m:r>
                      </m:sub>
                    </m:sSub>
                  </m:num>
                  <m:den>
                    <m:sSub>
                      <m:sSubPr>
                        <m:ctrlPr>
                          <w:rPr>
                            <w:rFonts w:ascii="Cambria Math" w:hAnsi="Cambria Math" w:cs="Arial"/>
                            <w:i/>
                            <w:sz w:val="18"/>
                            <w:szCs w:val="18"/>
                            <w:lang w:val="fr-FR"/>
                          </w:rPr>
                        </m:ctrlPr>
                      </m:sSubPr>
                      <m:e>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HT</m:t>
                        </m:r>
                      </m:e>
                      <m:sub>
                        <m:r>
                          <w:rPr>
                            <w:rFonts w:ascii="Cambria Math" w:hAnsi="Cambria Math" w:cs="Arial"/>
                            <w:sz w:val="18"/>
                            <w:szCs w:val="18"/>
                            <w:lang w:val="fr-FR"/>
                          </w:rPr>
                          <m:t>N-1</m:t>
                        </m:r>
                      </m:sub>
                    </m:sSub>
                  </m:den>
                </m:f>
              </m:oMath>
            </m:oMathPara>
          </w:p>
        </w:tc>
        <w:tc>
          <w:tcPr>
            <w:tcW w:w="5953" w:type="dxa"/>
            <w:vAlign w:val="center"/>
          </w:tcPr>
          <w:p w14:paraId="3DAF0B74" w14:textId="29CAC836" w:rsidR="001A30AC" w:rsidRPr="00B614EE" w:rsidRDefault="001A30AC" w:rsidP="00A722BF">
            <w:pPr>
              <w:spacing w:before="120" w:after="120"/>
              <w:jc w:val="both"/>
              <w:rPr>
                <w:rFonts w:ascii="Constantia" w:hAnsi="Constantia" w:cs="Arial"/>
                <w:sz w:val="18"/>
                <w:szCs w:val="18"/>
                <w:lang w:val="fr-FR"/>
              </w:rPr>
            </w:pPr>
            <w:r w:rsidRPr="00B614EE">
              <w:rPr>
                <w:rFonts w:ascii="Constantia" w:hAnsi="Constantia" w:cs="Arial"/>
                <w:sz w:val="18"/>
                <w:szCs w:val="18"/>
                <w:lang w:val="fr-FR"/>
              </w:rPr>
              <w:t>Mesure la progression des activités de l’entreprise qui doit être comparée à la progression du résultat net et du résultat d’exploitation</w:t>
            </w:r>
            <w:r>
              <w:rPr>
                <w:rFonts w:ascii="Constantia" w:hAnsi="Constantia" w:cs="Arial"/>
                <w:sz w:val="18"/>
                <w:szCs w:val="18"/>
                <w:lang w:val="fr-FR"/>
              </w:rPr>
              <w:t>.</w:t>
            </w:r>
          </w:p>
        </w:tc>
      </w:tr>
      <w:tr w:rsidR="001A30AC" w:rsidRPr="00FE43CD" w14:paraId="03DE78B4" w14:textId="77777777" w:rsidTr="00786F53">
        <w:trPr>
          <w:jc w:val="center"/>
        </w:trPr>
        <w:tc>
          <w:tcPr>
            <w:tcW w:w="2547" w:type="dxa"/>
            <w:vAlign w:val="center"/>
          </w:tcPr>
          <w:p w14:paraId="546A20EE" w14:textId="62AF29E9"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Variation de la valeur ajoutée</w:t>
            </w:r>
          </w:p>
        </w:tc>
        <w:tc>
          <w:tcPr>
            <w:tcW w:w="5812" w:type="dxa"/>
            <w:vAlign w:val="center"/>
          </w:tcPr>
          <w:p w14:paraId="067E2427" w14:textId="283DF91C"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sSub>
                      <m:sSubPr>
                        <m:ctrlPr>
                          <w:rPr>
                            <w:rFonts w:ascii="Cambria Math" w:hAnsi="Cambria Math" w:cs="Arial"/>
                            <w:i/>
                            <w:sz w:val="18"/>
                            <w:szCs w:val="18"/>
                            <w:lang w:val="fr-FR"/>
                          </w:rPr>
                        </m:ctrlPr>
                      </m:sSubPr>
                      <m:e>
                        <m:r>
                          <w:rPr>
                            <w:rFonts w:ascii="Cambria Math" w:hAnsi="Cambria Math" w:cs="Arial"/>
                            <w:sz w:val="18"/>
                            <w:szCs w:val="18"/>
                            <w:lang w:val="fr-FR"/>
                          </w:rPr>
                          <m:t>Valeur ajoutée</m:t>
                        </m:r>
                      </m:e>
                      <m:sub>
                        <m:r>
                          <w:rPr>
                            <w:rFonts w:ascii="Cambria Math" w:hAnsi="Cambria Math" w:cs="Arial"/>
                            <w:sz w:val="18"/>
                            <w:szCs w:val="18"/>
                            <w:lang w:val="fr-FR"/>
                          </w:rPr>
                          <m:t>N</m:t>
                        </m:r>
                      </m:sub>
                    </m:sSub>
                    <m:r>
                      <w:rPr>
                        <w:rFonts w:ascii="Cambria Math" w:hAnsi="Cambria Math" w:cs="Arial"/>
                        <w:sz w:val="18"/>
                        <w:szCs w:val="18"/>
                        <w:lang w:val="fr-FR"/>
                      </w:rPr>
                      <m:t>-</m:t>
                    </m:r>
                    <m:sSub>
                      <m:sSubPr>
                        <m:ctrlPr>
                          <w:rPr>
                            <w:rFonts w:ascii="Cambria Math" w:hAnsi="Cambria Math" w:cs="Arial"/>
                            <w:i/>
                            <w:sz w:val="18"/>
                            <w:szCs w:val="18"/>
                            <w:lang w:val="fr-FR"/>
                          </w:rPr>
                        </m:ctrlPr>
                      </m:sSubPr>
                      <m:e>
                        <m:r>
                          <w:rPr>
                            <w:rFonts w:ascii="Cambria Math" w:hAnsi="Cambria Math" w:cs="Arial"/>
                            <w:sz w:val="18"/>
                            <w:szCs w:val="18"/>
                            <w:lang w:val="fr-FR"/>
                          </w:rPr>
                          <m:t>Valeur ajoutée</m:t>
                        </m:r>
                      </m:e>
                      <m:sub>
                        <m:r>
                          <w:rPr>
                            <w:rFonts w:ascii="Cambria Math" w:hAnsi="Cambria Math" w:cs="Arial"/>
                            <w:sz w:val="18"/>
                            <w:szCs w:val="18"/>
                            <w:lang w:val="fr-FR"/>
                          </w:rPr>
                          <m:t>N-1</m:t>
                        </m:r>
                      </m:sub>
                    </m:sSub>
                  </m:num>
                  <m:den>
                    <m:sSub>
                      <m:sSubPr>
                        <m:ctrlPr>
                          <w:rPr>
                            <w:rFonts w:ascii="Cambria Math" w:hAnsi="Cambria Math" w:cs="Arial"/>
                            <w:i/>
                            <w:sz w:val="18"/>
                            <w:szCs w:val="18"/>
                            <w:lang w:val="fr-FR"/>
                          </w:rPr>
                        </m:ctrlPr>
                      </m:sSubPr>
                      <m:e>
                        <m:r>
                          <w:rPr>
                            <w:rFonts w:ascii="Cambria Math" w:hAnsi="Cambria Math" w:cs="Arial"/>
                            <w:sz w:val="18"/>
                            <w:szCs w:val="18"/>
                            <w:lang w:val="fr-FR"/>
                          </w:rPr>
                          <m:t>Valeur ajoutée</m:t>
                        </m:r>
                      </m:e>
                      <m:sub>
                        <m:r>
                          <w:rPr>
                            <w:rFonts w:ascii="Cambria Math" w:hAnsi="Cambria Math" w:cs="Arial"/>
                            <w:sz w:val="18"/>
                            <w:szCs w:val="18"/>
                            <w:lang w:val="fr-FR"/>
                          </w:rPr>
                          <m:t>N-1</m:t>
                        </m:r>
                      </m:sub>
                    </m:sSub>
                  </m:den>
                </m:f>
              </m:oMath>
            </m:oMathPara>
          </w:p>
        </w:tc>
        <w:tc>
          <w:tcPr>
            <w:tcW w:w="5953" w:type="dxa"/>
            <w:vAlign w:val="center"/>
          </w:tcPr>
          <w:p w14:paraId="303DAFE8" w14:textId="1DEFCF12" w:rsidR="001A30AC" w:rsidRPr="00B614EE" w:rsidRDefault="001A30AC" w:rsidP="00A722BF">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la croissance de l’activité (richesse créée) en considération des ressources matérielles et humaines mobilisées. </w:t>
            </w:r>
          </w:p>
        </w:tc>
      </w:tr>
      <w:tr w:rsidR="001A30AC" w:rsidRPr="00FE43CD" w14:paraId="1F055889" w14:textId="77777777" w:rsidTr="00786F53">
        <w:trPr>
          <w:jc w:val="center"/>
        </w:trPr>
        <w:tc>
          <w:tcPr>
            <w:tcW w:w="2547" w:type="dxa"/>
            <w:vAlign w:val="center"/>
          </w:tcPr>
          <w:p w14:paraId="6EA86928" w14:textId="340D540D"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Taux de valeur ajoutée</w:t>
            </w:r>
          </w:p>
        </w:tc>
        <w:tc>
          <w:tcPr>
            <w:tcW w:w="5812" w:type="dxa"/>
            <w:vAlign w:val="center"/>
          </w:tcPr>
          <w:p w14:paraId="4DD7180B" w14:textId="6C88660F"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Valeur ajoutée</m:t>
                    </m:r>
                  </m:num>
                  <m:den>
                    <m:r>
                      <w:rPr>
                        <w:rFonts w:ascii="Cambria Math" w:hAnsi="Cambria Math" w:cs="Arial"/>
                        <w:sz w:val="18"/>
                        <w:szCs w:val="18"/>
                        <w:lang w:val="fr-FR"/>
                      </w:rPr>
                      <m:t>Chiffre d'affaires</m:t>
                    </m:r>
                  </m:den>
                </m:f>
                <m:r>
                  <w:rPr>
                    <w:rFonts w:ascii="Cambria Math" w:hAnsi="Cambria Math" w:cs="Arial"/>
                    <w:sz w:val="18"/>
                    <w:szCs w:val="18"/>
                    <w:lang w:val="fr-FR"/>
                  </w:rPr>
                  <m:t>×100</m:t>
                </m:r>
              </m:oMath>
            </m:oMathPara>
          </w:p>
        </w:tc>
        <w:tc>
          <w:tcPr>
            <w:tcW w:w="5953" w:type="dxa"/>
            <w:vAlign w:val="center"/>
          </w:tcPr>
          <w:p w14:paraId="6FF720AD" w14:textId="77777777" w:rsidR="001A30AC" w:rsidRDefault="001A30AC" w:rsidP="00A722BF">
            <w:pPr>
              <w:spacing w:before="120" w:after="120"/>
              <w:jc w:val="both"/>
              <w:rPr>
                <w:rFonts w:ascii="Constantia" w:hAnsi="Constantia" w:cs="Arial"/>
                <w:sz w:val="18"/>
                <w:szCs w:val="18"/>
                <w:lang w:val="fr-FR"/>
              </w:rPr>
            </w:pPr>
            <w:r w:rsidRPr="00B614EE">
              <w:rPr>
                <w:rFonts w:ascii="Constantia" w:hAnsi="Constantia" w:cs="Arial"/>
                <w:sz w:val="18"/>
                <w:szCs w:val="18"/>
                <w:lang w:val="fr-FR"/>
              </w:rPr>
              <w:t>Apprécie la performance des outils de production et le niveau de maîtrise des charges externes et la politique de sous-traitance (intégration)</w:t>
            </w:r>
            <w:r>
              <w:rPr>
                <w:rFonts w:ascii="Constantia" w:hAnsi="Constantia" w:cs="Arial"/>
                <w:sz w:val="18"/>
                <w:szCs w:val="18"/>
                <w:lang w:val="fr-FR"/>
              </w:rPr>
              <w:t xml:space="preserve">. </w:t>
            </w:r>
          </w:p>
          <w:p w14:paraId="4FC24938" w14:textId="6032AC2A" w:rsidR="001A30AC" w:rsidRPr="00B614EE" w:rsidRDefault="001A30AC" w:rsidP="00A722BF">
            <w:pPr>
              <w:spacing w:before="120" w:after="120"/>
              <w:jc w:val="both"/>
              <w:rPr>
                <w:rFonts w:ascii="Constantia" w:hAnsi="Constantia" w:cs="Arial"/>
                <w:sz w:val="18"/>
                <w:szCs w:val="18"/>
                <w:lang w:val="fr-FR"/>
              </w:rPr>
            </w:pPr>
            <w:r>
              <w:rPr>
                <w:rFonts w:ascii="Constantia" w:hAnsi="Constantia" w:cs="Arial"/>
                <w:sz w:val="18"/>
                <w:szCs w:val="18"/>
                <w:lang w:val="fr-FR"/>
              </w:rPr>
              <w:t>Un pourcentage supérieur à 40% est jugé forte et un pourcentage inférieur à 20% et jugé faible.</w:t>
            </w:r>
          </w:p>
        </w:tc>
      </w:tr>
      <w:tr w:rsidR="001A30AC" w:rsidRPr="00FE43CD" w14:paraId="0B3F3F08" w14:textId="77777777" w:rsidTr="00786F53">
        <w:trPr>
          <w:jc w:val="center"/>
        </w:trPr>
        <w:tc>
          <w:tcPr>
            <w:tcW w:w="2547" w:type="dxa"/>
            <w:vMerge w:val="restart"/>
            <w:vAlign w:val="center"/>
          </w:tcPr>
          <w:p w14:paraId="6749AD2A" w14:textId="4DDDF1EB"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Efficience du personnel</w:t>
            </w:r>
          </w:p>
        </w:tc>
        <w:tc>
          <w:tcPr>
            <w:tcW w:w="5812" w:type="dxa"/>
            <w:vAlign w:val="center"/>
          </w:tcPr>
          <w:p w14:paraId="10851793" w14:textId="10DA333E"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Valeur ajoutée</m:t>
                    </m:r>
                  </m:num>
                  <m:den>
                    <m:r>
                      <w:rPr>
                        <w:rFonts w:ascii="Cambria Math" w:hAnsi="Cambria Math" w:cs="Arial"/>
                        <w:sz w:val="18"/>
                        <w:szCs w:val="18"/>
                        <w:lang w:val="fr-FR"/>
                      </w:rPr>
                      <m:t>Charges de personnel</m:t>
                    </m:r>
                  </m:den>
                </m:f>
              </m:oMath>
            </m:oMathPara>
          </w:p>
        </w:tc>
        <w:tc>
          <w:tcPr>
            <w:tcW w:w="5953" w:type="dxa"/>
            <w:vMerge w:val="restart"/>
            <w:vAlign w:val="center"/>
          </w:tcPr>
          <w:p w14:paraId="5CE62AC8" w14:textId="6C5A856D" w:rsidR="001A30AC" w:rsidRPr="00B614EE" w:rsidRDefault="001A30AC" w:rsidP="00A722BF">
            <w:pPr>
              <w:spacing w:before="120" w:after="120"/>
              <w:jc w:val="both"/>
              <w:rPr>
                <w:rFonts w:ascii="Constantia" w:hAnsi="Constantia" w:cs="Arial"/>
                <w:sz w:val="18"/>
                <w:szCs w:val="18"/>
                <w:lang w:val="fr-FR"/>
              </w:rPr>
            </w:pPr>
            <w:r w:rsidRPr="00B614EE">
              <w:rPr>
                <w:rFonts w:ascii="Constantia" w:hAnsi="Constantia" w:cs="Arial"/>
                <w:sz w:val="18"/>
                <w:szCs w:val="18"/>
                <w:lang w:val="fr-FR"/>
              </w:rPr>
              <w:t>Mesure la productivité du facteur travail</w:t>
            </w:r>
            <w:r>
              <w:rPr>
                <w:rFonts w:ascii="Constantia" w:hAnsi="Constantia" w:cs="Arial"/>
                <w:sz w:val="18"/>
                <w:szCs w:val="18"/>
                <w:lang w:val="fr-FR"/>
              </w:rPr>
              <w:t xml:space="preserve">. Au demeurant, l’indicateur renseigne sur le niveau de chiffre d’affaires, de richesse (valeur ajoutée) créée par salarié. Un niveau élevé du ratio est une bonne chose. Il est influencé par le secteur d’activité, la production et la stratégie opérationnelle de l’entreprise. Il est aussi recommandé d’effectuer une analyse tendancielle de l’indicateur. </w:t>
            </w:r>
          </w:p>
        </w:tc>
      </w:tr>
      <w:tr w:rsidR="001A30AC" w:rsidRPr="00B614EE" w14:paraId="5D1924CB" w14:textId="77777777" w:rsidTr="00786F53">
        <w:trPr>
          <w:jc w:val="center"/>
        </w:trPr>
        <w:tc>
          <w:tcPr>
            <w:tcW w:w="2547" w:type="dxa"/>
            <w:vMerge/>
            <w:vAlign w:val="center"/>
          </w:tcPr>
          <w:p w14:paraId="72EB2D8D" w14:textId="77777777"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433F75A1" w14:textId="67781E9E"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Valeur ajoutée</m:t>
                    </m:r>
                  </m:num>
                  <m:den>
                    <m:r>
                      <w:rPr>
                        <w:rFonts w:ascii="Cambria Math" w:hAnsi="Cambria Math" w:cs="Arial"/>
                        <w:sz w:val="18"/>
                        <w:szCs w:val="18"/>
                        <w:lang w:val="fr-FR"/>
                      </w:rPr>
                      <m:t>Nombre de salariés</m:t>
                    </m:r>
                  </m:den>
                </m:f>
              </m:oMath>
            </m:oMathPara>
          </w:p>
        </w:tc>
        <w:tc>
          <w:tcPr>
            <w:tcW w:w="5953" w:type="dxa"/>
            <w:vMerge/>
            <w:vAlign w:val="center"/>
          </w:tcPr>
          <w:p w14:paraId="7490819E" w14:textId="77777777" w:rsidR="001A30AC" w:rsidRPr="00B614EE" w:rsidRDefault="001A30AC" w:rsidP="00A722BF">
            <w:pPr>
              <w:spacing w:before="120" w:after="120"/>
              <w:jc w:val="both"/>
              <w:rPr>
                <w:rFonts w:ascii="Constantia" w:hAnsi="Constantia" w:cs="Arial"/>
                <w:sz w:val="18"/>
                <w:szCs w:val="18"/>
                <w:lang w:val="fr-FR"/>
              </w:rPr>
            </w:pPr>
          </w:p>
        </w:tc>
      </w:tr>
      <w:tr w:rsidR="001A30AC" w:rsidRPr="00B614EE" w14:paraId="13BE7A61" w14:textId="77777777" w:rsidTr="00786F53">
        <w:trPr>
          <w:jc w:val="center"/>
        </w:trPr>
        <w:tc>
          <w:tcPr>
            <w:tcW w:w="2547" w:type="dxa"/>
            <w:vMerge/>
            <w:vAlign w:val="center"/>
          </w:tcPr>
          <w:p w14:paraId="4C1381C5" w14:textId="77777777"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23663F41" w14:textId="75C7AF9B"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Chiffre d'affaires</m:t>
                    </m:r>
                  </m:num>
                  <m:den>
                    <m:r>
                      <w:rPr>
                        <w:rFonts w:ascii="Cambria Math" w:hAnsi="Cambria Math" w:cs="Arial"/>
                        <w:sz w:val="18"/>
                        <w:szCs w:val="18"/>
                        <w:lang w:val="fr-FR"/>
                      </w:rPr>
                      <m:t>Nombre de salariés</m:t>
                    </m:r>
                  </m:den>
                </m:f>
              </m:oMath>
            </m:oMathPara>
          </w:p>
        </w:tc>
        <w:tc>
          <w:tcPr>
            <w:tcW w:w="5953" w:type="dxa"/>
            <w:vMerge/>
            <w:vAlign w:val="center"/>
          </w:tcPr>
          <w:p w14:paraId="24956E8A" w14:textId="77777777" w:rsidR="001A30AC" w:rsidRPr="00B614EE" w:rsidRDefault="001A30AC" w:rsidP="00A722BF">
            <w:pPr>
              <w:spacing w:before="120" w:after="120"/>
              <w:jc w:val="both"/>
              <w:rPr>
                <w:rFonts w:ascii="Constantia" w:hAnsi="Constantia" w:cs="Arial"/>
                <w:sz w:val="18"/>
                <w:szCs w:val="18"/>
                <w:lang w:val="fr-FR"/>
              </w:rPr>
            </w:pPr>
          </w:p>
        </w:tc>
      </w:tr>
      <w:tr w:rsidR="001A30AC" w:rsidRPr="00FE43CD" w14:paraId="753E8D79" w14:textId="77777777" w:rsidTr="00786F53">
        <w:trPr>
          <w:jc w:val="center"/>
        </w:trPr>
        <w:tc>
          <w:tcPr>
            <w:tcW w:w="2547" w:type="dxa"/>
            <w:vMerge w:val="restart"/>
            <w:vAlign w:val="center"/>
          </w:tcPr>
          <w:p w14:paraId="59580125" w14:textId="496515E4"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Besoin de financement global</w:t>
            </w:r>
          </w:p>
        </w:tc>
        <w:tc>
          <w:tcPr>
            <w:tcW w:w="5812" w:type="dxa"/>
            <w:vAlign w:val="center"/>
          </w:tcPr>
          <w:p w14:paraId="2030BEC3" w14:textId="238AD1A8"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Actif circulant</m:t>
                    </m:r>
                  </m:num>
                  <m:den>
                    <m:r>
                      <w:rPr>
                        <w:rFonts w:ascii="Cambria Math" w:hAnsi="Cambria Math" w:cs="Arial"/>
                        <w:sz w:val="18"/>
                        <w:szCs w:val="18"/>
                        <w:lang w:val="fr-FR"/>
                      </w:rPr>
                      <m:t>Passif circulant</m:t>
                    </m:r>
                  </m:den>
                </m:f>
              </m:oMath>
            </m:oMathPara>
          </w:p>
        </w:tc>
        <w:tc>
          <w:tcPr>
            <w:tcW w:w="5953" w:type="dxa"/>
            <w:vMerge w:val="restart"/>
            <w:vAlign w:val="center"/>
          </w:tcPr>
          <w:p w14:paraId="69ECD55A" w14:textId="77777777" w:rsidR="001A30AC" w:rsidRDefault="001A30AC" w:rsidP="00A722BF">
            <w:pPr>
              <w:spacing w:before="120" w:after="120"/>
              <w:jc w:val="both"/>
              <w:rPr>
                <w:rFonts w:ascii="Constantia" w:hAnsi="Constantia" w:cs="Arial"/>
                <w:sz w:val="18"/>
                <w:szCs w:val="18"/>
                <w:lang w:val="fr-FR"/>
              </w:rPr>
            </w:pPr>
            <w:r>
              <w:rPr>
                <w:rFonts w:ascii="Constantia" w:hAnsi="Constantia" w:cs="Arial"/>
                <w:sz w:val="18"/>
                <w:szCs w:val="18"/>
                <w:lang w:val="fr-FR"/>
              </w:rPr>
              <w:t xml:space="preserve">Le ratio mesure la capacité de l’entreprise à faire face à ses engagements à court terme, c’est-à-dire sur les 12 prochains mois. Plus le ratio est élevé, plus importante est la capacité de l’entreprise à faire face à ses engagements courts termes. </w:t>
            </w:r>
          </w:p>
          <w:p w14:paraId="0912FBE9" w14:textId="419EC3E8" w:rsidR="001A30AC" w:rsidRPr="00B614EE" w:rsidRDefault="001A30AC" w:rsidP="00A722BF">
            <w:pPr>
              <w:spacing w:before="120" w:after="120"/>
              <w:jc w:val="both"/>
              <w:rPr>
                <w:rFonts w:ascii="Constantia" w:hAnsi="Constantia" w:cs="Arial"/>
                <w:sz w:val="18"/>
                <w:szCs w:val="18"/>
                <w:lang w:val="fr-FR"/>
              </w:rPr>
            </w:pPr>
            <w:r w:rsidRPr="000E129E">
              <w:rPr>
                <w:rFonts w:ascii="Constantia" w:hAnsi="Constantia" w:cs="Arial"/>
                <w:sz w:val="18"/>
                <w:szCs w:val="18"/>
                <w:lang w:val="fr-FR"/>
              </w:rPr>
              <w:t xml:space="preserve">Il est préférable que l'actif circulant représente au moins 1,5 fois le passif circulant. Tout ratio inférieur à l'unité est un signal que l'entreprise ne peut faire face à ses obligations </w:t>
            </w:r>
            <w:r>
              <w:rPr>
                <w:rFonts w:ascii="Constantia" w:hAnsi="Constantia" w:cs="Arial"/>
                <w:sz w:val="18"/>
                <w:szCs w:val="18"/>
                <w:lang w:val="fr-FR"/>
              </w:rPr>
              <w:t>à</w:t>
            </w:r>
            <w:r w:rsidRPr="000E129E">
              <w:rPr>
                <w:rFonts w:ascii="Constantia" w:hAnsi="Constantia" w:cs="Arial"/>
                <w:sz w:val="18"/>
                <w:szCs w:val="18"/>
                <w:lang w:val="fr-FR"/>
              </w:rPr>
              <w:t xml:space="preserve"> moins d'un an</w:t>
            </w:r>
          </w:p>
        </w:tc>
      </w:tr>
      <w:tr w:rsidR="001A30AC" w:rsidRPr="00B614EE" w14:paraId="4CBDD90B" w14:textId="77777777" w:rsidTr="00786F53">
        <w:trPr>
          <w:jc w:val="center"/>
        </w:trPr>
        <w:tc>
          <w:tcPr>
            <w:tcW w:w="2547" w:type="dxa"/>
            <w:vMerge/>
            <w:vAlign w:val="center"/>
          </w:tcPr>
          <w:p w14:paraId="3B38ACB2" w14:textId="0A18C32E"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0845EE20" w14:textId="3E07DB8C" w:rsidR="001A30AC" w:rsidRPr="00B614EE" w:rsidRDefault="00356F0C" w:rsidP="00D227F8">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Actif circulant+Trésorerie actif</m:t>
                    </m:r>
                  </m:num>
                  <m:den>
                    <m:r>
                      <w:rPr>
                        <w:rFonts w:ascii="Cambria Math" w:hAnsi="Cambria Math" w:cs="Arial"/>
                        <w:sz w:val="18"/>
                        <w:szCs w:val="18"/>
                        <w:lang w:val="fr-FR"/>
                      </w:rPr>
                      <m:t>Passif circulant+Trésorerie passif</m:t>
                    </m:r>
                  </m:den>
                </m:f>
              </m:oMath>
            </m:oMathPara>
          </w:p>
        </w:tc>
        <w:tc>
          <w:tcPr>
            <w:tcW w:w="5953" w:type="dxa"/>
            <w:vMerge/>
            <w:vAlign w:val="center"/>
          </w:tcPr>
          <w:p w14:paraId="7DCD03B5" w14:textId="77777777" w:rsidR="001A30AC" w:rsidRPr="00B614EE" w:rsidRDefault="001A30AC" w:rsidP="00A722BF">
            <w:pPr>
              <w:spacing w:before="120" w:after="120"/>
              <w:jc w:val="both"/>
              <w:rPr>
                <w:rFonts w:ascii="Constantia" w:hAnsi="Constantia" w:cs="Arial"/>
                <w:sz w:val="18"/>
                <w:szCs w:val="18"/>
                <w:lang w:val="fr-FR"/>
              </w:rPr>
            </w:pPr>
          </w:p>
        </w:tc>
      </w:tr>
      <w:tr w:rsidR="001A30AC" w:rsidRPr="00FE43CD" w14:paraId="0B1264F4" w14:textId="77777777" w:rsidTr="00786F53">
        <w:trPr>
          <w:jc w:val="center"/>
        </w:trPr>
        <w:tc>
          <w:tcPr>
            <w:tcW w:w="2547" w:type="dxa"/>
            <w:vAlign w:val="center"/>
          </w:tcPr>
          <w:p w14:paraId="7DC7AC28" w14:textId="2B2A1511"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Besoin de financement global en jours</w:t>
            </w:r>
          </w:p>
        </w:tc>
        <w:tc>
          <w:tcPr>
            <w:tcW w:w="5812" w:type="dxa"/>
            <w:vAlign w:val="center"/>
          </w:tcPr>
          <w:p w14:paraId="7024787C" w14:textId="222DA066" w:rsidR="001A30AC" w:rsidRPr="00B614EE" w:rsidRDefault="00356F0C" w:rsidP="00D227F8">
            <w:pPr>
              <w:spacing w:before="120" w:after="120"/>
              <w:rPr>
                <w:rFonts w:ascii="Constantia" w:eastAsia="Calibri"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Besoin de financement global</m:t>
                    </m:r>
                  </m:num>
                  <m:den>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HT</m:t>
                    </m:r>
                  </m:den>
                </m:f>
                <m:r>
                  <w:rPr>
                    <w:rFonts w:ascii="Cambria Math" w:hAnsi="Cambria Math" w:cs="Arial"/>
                    <w:sz w:val="18"/>
                    <w:szCs w:val="18"/>
                    <w:lang w:val="fr-FR"/>
                  </w:rPr>
                  <m:t>×365</m:t>
                </m:r>
              </m:oMath>
            </m:oMathPara>
          </w:p>
        </w:tc>
        <w:tc>
          <w:tcPr>
            <w:tcW w:w="5953" w:type="dxa"/>
            <w:vAlign w:val="center"/>
          </w:tcPr>
          <w:p w14:paraId="422F13EC" w14:textId="73A24B68" w:rsidR="001A30AC" w:rsidRPr="00B614EE" w:rsidRDefault="001A30AC" w:rsidP="00A722BF">
            <w:pPr>
              <w:spacing w:before="120" w:after="120"/>
              <w:jc w:val="both"/>
              <w:rPr>
                <w:rFonts w:ascii="Constantia" w:hAnsi="Constantia" w:cs="Arial"/>
                <w:sz w:val="18"/>
                <w:szCs w:val="18"/>
                <w:lang w:val="fr-FR"/>
              </w:rPr>
            </w:pPr>
            <w:r>
              <w:rPr>
                <w:rFonts w:ascii="Constantia" w:hAnsi="Constantia" w:cs="Arial"/>
                <w:sz w:val="18"/>
                <w:szCs w:val="18"/>
                <w:lang w:val="fr-FR"/>
              </w:rPr>
              <w:t xml:space="preserve">Représente le niveau d’investissement en Besoin de Financement Global en termes du nombre de jours du chiffre d’affaires. Autrement dit, ce ratio est une représentation du Besoin de financement global en jours d’activité. </w:t>
            </w:r>
          </w:p>
        </w:tc>
      </w:tr>
      <w:tr w:rsidR="001A30AC" w:rsidRPr="008142D2" w14:paraId="79AFA238" w14:textId="77777777" w:rsidTr="00786F53">
        <w:trPr>
          <w:jc w:val="center"/>
        </w:trPr>
        <w:tc>
          <w:tcPr>
            <w:tcW w:w="2547" w:type="dxa"/>
            <w:vMerge w:val="restart"/>
            <w:vAlign w:val="center"/>
          </w:tcPr>
          <w:p w14:paraId="046B5484" w14:textId="140D7145"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Politique d’investissement (PI)</w:t>
            </w:r>
          </w:p>
        </w:tc>
        <w:tc>
          <w:tcPr>
            <w:tcW w:w="5812" w:type="dxa"/>
            <w:vAlign w:val="center"/>
          </w:tcPr>
          <w:p w14:paraId="2495F132" w14:textId="44CEB083" w:rsidR="001A30AC" w:rsidRPr="00B614EE" w:rsidRDefault="00356F0C" w:rsidP="00D227F8">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Actif circulant</m:t>
                    </m:r>
                  </m:num>
                  <m:den>
                    <m:r>
                      <w:rPr>
                        <w:rFonts w:ascii="Cambria Math" w:hAnsi="Cambria Math" w:cs="Arial"/>
                        <w:sz w:val="18"/>
                        <w:szCs w:val="18"/>
                        <w:lang w:val="fr-FR"/>
                      </w:rPr>
                      <m:t>Total actif</m:t>
                    </m:r>
                  </m:den>
                </m:f>
              </m:oMath>
            </m:oMathPara>
          </w:p>
        </w:tc>
        <w:tc>
          <w:tcPr>
            <w:tcW w:w="5953" w:type="dxa"/>
            <w:vMerge w:val="restart"/>
            <w:vAlign w:val="center"/>
          </w:tcPr>
          <w:p w14:paraId="2752C935" w14:textId="00CFAD73" w:rsidR="001A30AC" w:rsidRPr="00B614EE" w:rsidRDefault="001A30AC" w:rsidP="00A722BF">
            <w:pPr>
              <w:spacing w:before="120" w:after="120"/>
              <w:jc w:val="both"/>
              <w:rPr>
                <w:rFonts w:ascii="Constantia" w:hAnsi="Constantia" w:cs="Arial"/>
                <w:sz w:val="18"/>
                <w:szCs w:val="18"/>
                <w:lang w:val="fr-FR"/>
              </w:rPr>
            </w:pPr>
            <w:r>
              <w:rPr>
                <w:rFonts w:ascii="Constantia" w:hAnsi="Constantia" w:cs="Arial"/>
                <w:sz w:val="18"/>
                <w:szCs w:val="18"/>
                <w:lang w:val="fr-FR"/>
              </w:rPr>
              <w:t>Renseigne sur le comportement agressif ou conservatif des dirigeants en termes d’investissement. Un faible (respectivement fort) ratio est la conséquence d’une politique d’investissement agressive (respectivement conservative). A la cause, l’entreprise dispose relativement de peu d’argent en stocks, en créances et en trésorerie. Généralement, une politique d’investissement agressive (respectivement conservative) est associée à une profitabilité, une liquidité élevée. (</w:t>
            </w:r>
            <w:proofErr w:type="gramStart"/>
            <w:r>
              <w:rPr>
                <w:rFonts w:ascii="Constantia" w:hAnsi="Constantia" w:cs="Arial"/>
                <w:sz w:val="18"/>
                <w:szCs w:val="18"/>
                <w:lang w:val="fr-FR"/>
              </w:rPr>
              <w:t>respectivement</w:t>
            </w:r>
            <w:proofErr w:type="gramEnd"/>
            <w:r>
              <w:rPr>
                <w:rFonts w:ascii="Constantia" w:hAnsi="Constantia" w:cs="Arial"/>
                <w:sz w:val="18"/>
                <w:szCs w:val="18"/>
                <w:lang w:val="fr-FR"/>
              </w:rPr>
              <w:t xml:space="preserve"> moindre). </w:t>
            </w:r>
          </w:p>
        </w:tc>
      </w:tr>
      <w:tr w:rsidR="001A30AC" w:rsidRPr="00B614EE" w14:paraId="3E0A3FC7" w14:textId="77777777" w:rsidTr="00786F53">
        <w:trPr>
          <w:jc w:val="center"/>
        </w:trPr>
        <w:tc>
          <w:tcPr>
            <w:tcW w:w="2547" w:type="dxa"/>
            <w:vMerge/>
            <w:vAlign w:val="center"/>
          </w:tcPr>
          <w:p w14:paraId="6DF11C44" w14:textId="74668955"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55D641D1" w14:textId="35126DB9" w:rsidR="001A30AC" w:rsidRPr="00B614EE" w:rsidRDefault="00356F0C" w:rsidP="00D227F8">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Actif circulant+Trésorerie actif</m:t>
                    </m:r>
                  </m:num>
                  <m:den>
                    <m:r>
                      <w:rPr>
                        <w:rFonts w:ascii="Cambria Math" w:hAnsi="Cambria Math" w:cs="Arial"/>
                        <w:sz w:val="18"/>
                        <w:szCs w:val="18"/>
                        <w:lang w:val="fr-FR"/>
                      </w:rPr>
                      <m:t>Total actif</m:t>
                    </m:r>
                  </m:den>
                </m:f>
              </m:oMath>
            </m:oMathPara>
          </w:p>
        </w:tc>
        <w:tc>
          <w:tcPr>
            <w:tcW w:w="5953" w:type="dxa"/>
            <w:vMerge/>
            <w:vAlign w:val="center"/>
          </w:tcPr>
          <w:p w14:paraId="17A7E0BF" w14:textId="77777777" w:rsidR="001A30AC" w:rsidRPr="00B614EE" w:rsidRDefault="001A30AC" w:rsidP="00A722BF">
            <w:pPr>
              <w:spacing w:before="120" w:after="120"/>
              <w:jc w:val="both"/>
              <w:rPr>
                <w:rFonts w:ascii="Constantia" w:hAnsi="Constantia" w:cs="Arial"/>
                <w:sz w:val="18"/>
                <w:szCs w:val="18"/>
                <w:lang w:val="fr-FR"/>
              </w:rPr>
            </w:pPr>
          </w:p>
        </w:tc>
      </w:tr>
      <w:tr w:rsidR="001A30AC" w:rsidRPr="00FE43CD" w14:paraId="41F76A19" w14:textId="77777777" w:rsidTr="00786F53">
        <w:trPr>
          <w:jc w:val="center"/>
        </w:trPr>
        <w:tc>
          <w:tcPr>
            <w:tcW w:w="2547" w:type="dxa"/>
            <w:vMerge w:val="restart"/>
            <w:vAlign w:val="center"/>
          </w:tcPr>
          <w:p w14:paraId="28954D6A" w14:textId="38999C09"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lastRenderedPageBreak/>
              <w:t>Politique de financement (PF)</w:t>
            </w:r>
          </w:p>
        </w:tc>
        <w:tc>
          <w:tcPr>
            <w:tcW w:w="5812" w:type="dxa"/>
            <w:vAlign w:val="center"/>
          </w:tcPr>
          <w:p w14:paraId="02C793A2" w14:textId="3510E951" w:rsidR="001A30AC" w:rsidRPr="00B614EE" w:rsidRDefault="00356F0C" w:rsidP="0026330A">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Passif circulant</m:t>
                    </m:r>
                  </m:num>
                  <m:den>
                    <m:r>
                      <w:rPr>
                        <w:rFonts w:ascii="Cambria Math" w:hAnsi="Cambria Math" w:cs="Arial"/>
                        <w:sz w:val="18"/>
                        <w:szCs w:val="18"/>
                        <w:lang w:val="fr-FR"/>
                      </w:rPr>
                      <m:t>Total Passif</m:t>
                    </m:r>
                  </m:den>
                </m:f>
              </m:oMath>
            </m:oMathPara>
          </w:p>
        </w:tc>
        <w:tc>
          <w:tcPr>
            <w:tcW w:w="5953" w:type="dxa"/>
            <w:vMerge w:val="restart"/>
            <w:vAlign w:val="center"/>
          </w:tcPr>
          <w:p w14:paraId="3D776333" w14:textId="5A9BAF9D"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le comportement agressif ou conservatif des dirigeants en termes de stratégie de financement. Un fort (respectivement faible) ratio est la conséquence d’une politique de financement agressive (respectivement conservative). Ainsi, les ressources de financement de l’entreprise sont essentiellement basées sur le passif circulant augmenté de la trésorerie passif (dettes à court terme) lorsque la politique de financement est agressive. Inversement, la politique est conservative lorsque les ressources de financement proviennent essentiellement des ressources stables (la somme des capitaux propres et ressources assimilées et des dettes financières et ressources assimilées). </w:t>
            </w:r>
          </w:p>
        </w:tc>
      </w:tr>
      <w:tr w:rsidR="001A30AC" w:rsidRPr="00B614EE" w14:paraId="04926CDC" w14:textId="77777777" w:rsidTr="00786F53">
        <w:trPr>
          <w:jc w:val="center"/>
        </w:trPr>
        <w:tc>
          <w:tcPr>
            <w:tcW w:w="2547" w:type="dxa"/>
            <w:vMerge/>
            <w:vAlign w:val="center"/>
          </w:tcPr>
          <w:p w14:paraId="6FCE99A1" w14:textId="663D7150"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63E8A73A" w14:textId="1770FD70" w:rsidR="001A30AC" w:rsidRPr="00B614EE" w:rsidRDefault="00356F0C" w:rsidP="0026330A">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Passif circulant +Trésorerie passif</m:t>
                    </m:r>
                  </m:num>
                  <m:den>
                    <m:r>
                      <w:rPr>
                        <w:rFonts w:ascii="Cambria Math" w:hAnsi="Cambria Math" w:cs="Arial"/>
                        <w:sz w:val="18"/>
                        <w:szCs w:val="18"/>
                        <w:lang w:val="fr-FR"/>
                      </w:rPr>
                      <m:t>Total Passif</m:t>
                    </m:r>
                  </m:den>
                </m:f>
              </m:oMath>
            </m:oMathPara>
          </w:p>
        </w:tc>
        <w:tc>
          <w:tcPr>
            <w:tcW w:w="5953" w:type="dxa"/>
            <w:vMerge/>
            <w:vAlign w:val="center"/>
          </w:tcPr>
          <w:p w14:paraId="6F645214" w14:textId="77777777" w:rsidR="001A30AC" w:rsidRPr="00B614EE" w:rsidRDefault="001A30AC" w:rsidP="0026330A">
            <w:pPr>
              <w:spacing w:before="120" w:after="120"/>
              <w:jc w:val="both"/>
              <w:rPr>
                <w:rFonts w:ascii="Constantia" w:hAnsi="Constantia" w:cs="Arial"/>
                <w:sz w:val="18"/>
                <w:szCs w:val="18"/>
                <w:lang w:val="fr-FR"/>
              </w:rPr>
            </w:pPr>
          </w:p>
        </w:tc>
      </w:tr>
      <w:tr w:rsidR="001A30AC" w:rsidRPr="00E86F7B" w14:paraId="3CEBE7D1" w14:textId="77777777" w:rsidTr="00786F53">
        <w:trPr>
          <w:jc w:val="center"/>
        </w:trPr>
        <w:tc>
          <w:tcPr>
            <w:tcW w:w="2547" w:type="dxa"/>
            <w:vAlign w:val="center"/>
          </w:tcPr>
          <w:p w14:paraId="07FC7F01" w14:textId="5DEA6B52"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Rotation de l’actif (RA)</w:t>
            </w:r>
          </w:p>
        </w:tc>
        <w:tc>
          <w:tcPr>
            <w:tcW w:w="5812" w:type="dxa"/>
            <w:vAlign w:val="center"/>
          </w:tcPr>
          <w:p w14:paraId="7CA0F27F" w14:textId="06AFB65C" w:rsidR="001A30AC" w:rsidRPr="00B614EE" w:rsidRDefault="00356F0C" w:rsidP="0026330A">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 xml:space="preserve">affaires HT </m:t>
                    </m:r>
                  </m:num>
                  <m:den>
                    <m:r>
                      <w:rPr>
                        <w:rFonts w:ascii="Cambria Math" w:hAnsi="Cambria Math" w:cs="Arial"/>
                        <w:sz w:val="18"/>
                        <w:szCs w:val="18"/>
                        <w:lang w:val="fr-FR"/>
                      </w:rPr>
                      <m:t>Total actif</m:t>
                    </m:r>
                  </m:den>
                </m:f>
              </m:oMath>
            </m:oMathPara>
          </w:p>
        </w:tc>
        <w:tc>
          <w:tcPr>
            <w:tcW w:w="5953" w:type="dxa"/>
            <w:vMerge w:val="restart"/>
            <w:vAlign w:val="center"/>
          </w:tcPr>
          <w:p w14:paraId="4583E7A0" w14:textId="56C97D2C"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Donne une idée sur le niveau d’efficacité et d’efficience d’emploi des ressources dont dispose l’entreprise. Il est recommandé que ce ratio soit élevé. </w:t>
            </w:r>
          </w:p>
        </w:tc>
      </w:tr>
      <w:tr w:rsidR="001A30AC" w:rsidRPr="00B614EE" w14:paraId="5984EABB" w14:textId="77777777" w:rsidTr="00786F53">
        <w:trPr>
          <w:jc w:val="center"/>
        </w:trPr>
        <w:tc>
          <w:tcPr>
            <w:tcW w:w="2547" w:type="dxa"/>
            <w:vAlign w:val="center"/>
          </w:tcPr>
          <w:p w14:paraId="376B9ECE" w14:textId="55469E2F"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Rotation de l’actif économique (RAE)</w:t>
            </w:r>
          </w:p>
        </w:tc>
        <w:tc>
          <w:tcPr>
            <w:tcW w:w="5812" w:type="dxa"/>
            <w:vAlign w:val="center"/>
          </w:tcPr>
          <w:p w14:paraId="36B8263F" w14:textId="276C85D7" w:rsidR="001A30AC" w:rsidRPr="00B614EE" w:rsidRDefault="00356F0C" w:rsidP="0026330A">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HT</m:t>
                    </m:r>
                  </m:num>
                  <m:den>
                    <m:r>
                      <w:rPr>
                        <w:rFonts w:ascii="Cambria Math" w:hAnsi="Cambria Math" w:cs="Arial"/>
                        <w:sz w:val="18"/>
                        <w:szCs w:val="18"/>
                        <w:lang w:val="fr-FR"/>
                      </w:rPr>
                      <m:t>Actif économique</m:t>
                    </m:r>
                  </m:den>
                </m:f>
              </m:oMath>
            </m:oMathPara>
          </w:p>
        </w:tc>
        <w:tc>
          <w:tcPr>
            <w:tcW w:w="5953" w:type="dxa"/>
            <w:vMerge/>
            <w:vAlign w:val="center"/>
          </w:tcPr>
          <w:p w14:paraId="51A002EC" w14:textId="77777777" w:rsidR="001A30AC" w:rsidRPr="00B614EE" w:rsidRDefault="001A30AC" w:rsidP="0026330A">
            <w:pPr>
              <w:spacing w:before="120" w:after="120"/>
              <w:jc w:val="both"/>
              <w:rPr>
                <w:rFonts w:ascii="Constantia" w:hAnsi="Constantia" w:cs="Arial"/>
                <w:sz w:val="18"/>
                <w:szCs w:val="18"/>
                <w:lang w:val="fr-FR"/>
              </w:rPr>
            </w:pPr>
          </w:p>
        </w:tc>
      </w:tr>
      <w:tr w:rsidR="001A30AC" w:rsidRPr="00FE43CD" w14:paraId="309D3171" w14:textId="77777777" w:rsidTr="00786F53">
        <w:trPr>
          <w:jc w:val="center"/>
        </w:trPr>
        <w:tc>
          <w:tcPr>
            <w:tcW w:w="2547" w:type="dxa"/>
            <w:vMerge w:val="restart"/>
            <w:vAlign w:val="center"/>
          </w:tcPr>
          <w:p w14:paraId="351378C5" w14:textId="118F5217"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Délai de rotation des stocks (DRS)</w:t>
            </w:r>
          </w:p>
        </w:tc>
        <w:tc>
          <w:tcPr>
            <w:tcW w:w="5812" w:type="dxa"/>
            <w:vAlign w:val="center"/>
          </w:tcPr>
          <w:p w14:paraId="470CFCF3" w14:textId="2F95C7A3" w:rsidR="001A30AC" w:rsidRPr="00B614EE" w:rsidRDefault="00356F0C" w:rsidP="0026330A">
            <w:pPr>
              <w:spacing w:before="120" w:after="120"/>
              <w:rPr>
                <w:rFonts w:ascii="Constantia" w:eastAsia="Calibri" w:hAnsi="Constantia" w:cs="Arial"/>
                <w:sz w:val="18"/>
                <w:szCs w:val="18"/>
                <w:lang w:val="fr-FR"/>
              </w:rPr>
            </w:pPr>
            <m:oMathPara>
              <m:oMath>
                <m:f>
                  <m:fPr>
                    <m:ctrlPr>
                      <w:rPr>
                        <w:rFonts w:ascii="Cambria Math" w:hAnsi="Cambria Math" w:cs="Arial"/>
                        <w:i/>
                        <w:iCs/>
                        <w:sz w:val="18"/>
                        <w:szCs w:val="18"/>
                        <w:lang w:val="fr-FR"/>
                      </w:rPr>
                    </m:ctrlPr>
                  </m:fPr>
                  <m:num>
                    <m:r>
                      <w:rPr>
                        <w:rFonts w:ascii="Cambria Math" w:hAnsi="Cambria Math" w:cs="Arial"/>
                        <w:sz w:val="18"/>
                        <w:szCs w:val="18"/>
                        <w:lang w:val="fr-FR"/>
                      </w:rPr>
                      <m:t>Stocks</m:t>
                    </m:r>
                  </m:num>
                  <m:den>
                    <m:r>
                      <w:rPr>
                        <w:rFonts w:ascii="Cambria Math" w:hAnsi="Cambria Math" w:cs="Arial"/>
                        <w:sz w:val="18"/>
                        <w:szCs w:val="18"/>
                        <w:lang w:val="fr-FR"/>
                      </w:rPr>
                      <m:t>Coût de production HT</m:t>
                    </m:r>
                  </m:den>
                </m:f>
                <m:r>
                  <w:rPr>
                    <w:rFonts w:ascii="Cambria Math" w:hAnsi="Cambria Math" w:cs="Arial"/>
                    <w:sz w:val="18"/>
                    <w:szCs w:val="18"/>
                    <w:lang w:val="fr-FR"/>
                  </w:rPr>
                  <m:t>×365</m:t>
                </m:r>
              </m:oMath>
            </m:oMathPara>
          </w:p>
        </w:tc>
        <w:tc>
          <w:tcPr>
            <w:tcW w:w="5953" w:type="dxa"/>
            <w:vMerge w:val="restart"/>
            <w:vAlign w:val="center"/>
          </w:tcPr>
          <w:p w14:paraId="5850D8E2" w14:textId="65285C91"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Indique le nombre de jours de détention des stocks. Un délai court sera apprécié. C’est un indicateur qui est influencé par le secteur d’activité.</w:t>
            </w:r>
          </w:p>
        </w:tc>
      </w:tr>
      <w:tr w:rsidR="001A30AC" w:rsidRPr="00FD5E73" w14:paraId="73139215" w14:textId="77777777" w:rsidTr="00786F53">
        <w:trPr>
          <w:jc w:val="center"/>
        </w:trPr>
        <w:tc>
          <w:tcPr>
            <w:tcW w:w="2547" w:type="dxa"/>
            <w:vMerge/>
            <w:vAlign w:val="center"/>
          </w:tcPr>
          <w:p w14:paraId="00E19564" w14:textId="77777777" w:rsidR="001A30AC" w:rsidRPr="008A47B5" w:rsidRDefault="001A30AC" w:rsidP="008A47B5">
            <w:pPr>
              <w:spacing w:before="120" w:after="120"/>
              <w:jc w:val="center"/>
              <w:rPr>
                <w:rFonts w:ascii="Constantia" w:hAnsi="Constantia" w:cs="Arial"/>
                <w:b/>
                <w:bCs/>
                <w:sz w:val="20"/>
                <w:szCs w:val="20"/>
                <w:lang w:val="fr-FR"/>
              </w:rPr>
            </w:pPr>
          </w:p>
        </w:tc>
        <w:tc>
          <w:tcPr>
            <w:tcW w:w="5812" w:type="dxa"/>
            <w:vAlign w:val="center"/>
          </w:tcPr>
          <w:p w14:paraId="692CDA64" w14:textId="7FAECAD3" w:rsidR="001A30AC" w:rsidRPr="00B614EE" w:rsidRDefault="00356F0C" w:rsidP="0026330A">
            <w:pPr>
              <w:spacing w:before="120" w:after="120"/>
              <w:rPr>
                <w:rFonts w:ascii="Constantia" w:eastAsia="Calibri" w:hAnsi="Constantia" w:cs="Arial"/>
                <w:sz w:val="18"/>
                <w:szCs w:val="18"/>
                <w:lang w:val="fr-FR"/>
              </w:rPr>
            </w:pPr>
            <m:oMathPara>
              <m:oMath>
                <m:f>
                  <m:fPr>
                    <m:ctrlPr>
                      <w:rPr>
                        <w:rFonts w:ascii="Cambria Math" w:hAnsi="Cambria Math" w:cs="Arial"/>
                        <w:i/>
                        <w:iCs/>
                        <w:sz w:val="18"/>
                        <w:szCs w:val="18"/>
                        <w:lang w:val="fr-FR"/>
                      </w:rPr>
                    </m:ctrlPr>
                  </m:fPr>
                  <m:num>
                    <m:r>
                      <w:rPr>
                        <w:rFonts w:ascii="Cambria Math" w:hAnsi="Cambria Math" w:cs="Arial"/>
                        <w:sz w:val="18"/>
                        <w:szCs w:val="18"/>
                        <w:lang w:val="fr-FR"/>
                      </w:rPr>
                      <m:t>Stocks</m:t>
                    </m:r>
                  </m:num>
                  <m:den>
                    <m:r>
                      <w:rPr>
                        <w:rFonts w:ascii="Cambria Math" w:hAnsi="Cambria Math" w:cs="Arial"/>
                        <w:sz w:val="18"/>
                        <w:szCs w:val="18"/>
                        <w:lang w:val="fr-FR"/>
                      </w:rPr>
                      <m:t>Achats  HT</m:t>
                    </m:r>
                  </m:den>
                </m:f>
                <m:r>
                  <w:rPr>
                    <w:rFonts w:ascii="Cambria Math" w:hAnsi="Cambria Math" w:cs="Arial"/>
                    <w:sz w:val="18"/>
                    <w:szCs w:val="18"/>
                    <w:lang w:val="fr-FR"/>
                  </w:rPr>
                  <m:t>×365</m:t>
                </m:r>
              </m:oMath>
            </m:oMathPara>
          </w:p>
        </w:tc>
        <w:tc>
          <w:tcPr>
            <w:tcW w:w="5953" w:type="dxa"/>
            <w:vMerge/>
            <w:vAlign w:val="center"/>
          </w:tcPr>
          <w:p w14:paraId="78C32FF4" w14:textId="77777777" w:rsidR="001A30AC" w:rsidRPr="00B614EE" w:rsidRDefault="001A30AC" w:rsidP="0026330A">
            <w:pPr>
              <w:spacing w:before="120" w:after="120"/>
              <w:jc w:val="both"/>
              <w:rPr>
                <w:rFonts w:ascii="Constantia" w:hAnsi="Constantia" w:cs="Arial"/>
                <w:sz w:val="18"/>
                <w:szCs w:val="18"/>
                <w:lang w:val="fr-FR"/>
              </w:rPr>
            </w:pPr>
          </w:p>
        </w:tc>
      </w:tr>
      <w:tr w:rsidR="001A30AC" w:rsidRPr="00FE43CD" w14:paraId="7FBD5305" w14:textId="77777777" w:rsidTr="00786F53">
        <w:trPr>
          <w:jc w:val="center"/>
        </w:trPr>
        <w:tc>
          <w:tcPr>
            <w:tcW w:w="2547" w:type="dxa"/>
            <w:vAlign w:val="center"/>
          </w:tcPr>
          <w:p w14:paraId="4084F84E" w14:textId="4CD4F0C2"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Délai de récupération des créances clients (DRCC)</w:t>
            </w:r>
          </w:p>
        </w:tc>
        <w:tc>
          <w:tcPr>
            <w:tcW w:w="5812" w:type="dxa"/>
            <w:vAlign w:val="center"/>
          </w:tcPr>
          <w:p w14:paraId="4836AD44" w14:textId="0C84656C" w:rsidR="001A30AC" w:rsidRPr="00BA0A40" w:rsidRDefault="00356F0C" w:rsidP="0026330A">
            <w:pPr>
              <w:spacing w:before="120" w:after="120"/>
              <w:rPr>
                <w:rFonts w:ascii="Constantia" w:eastAsia="Calibri" w:hAnsi="Constantia" w:cs="Arial"/>
                <w:iCs/>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Créances clients</m:t>
                    </m:r>
                  </m:num>
                  <m:den>
                    <m:r>
                      <w:rPr>
                        <w:rFonts w:ascii="Cambria Math" w:hAnsi="Cambria Math" w:cs="Arial"/>
                        <w:sz w:val="18"/>
                        <w:szCs w:val="18"/>
                        <w:lang w:val="fr-FR"/>
                      </w:rPr>
                      <m:t xml:space="preserve">Chiffre </m:t>
                    </m:r>
                    <m:sSup>
                      <m:sSupPr>
                        <m:ctrlPr>
                          <w:rPr>
                            <w:rFonts w:ascii="Cambria Math" w:hAnsi="Cambria Math" w:cs="Arial"/>
                            <w:i/>
                            <w:sz w:val="18"/>
                            <w:szCs w:val="18"/>
                            <w:lang w:val="fr-FR"/>
                          </w:rPr>
                        </m:ctrlPr>
                      </m:sSupPr>
                      <m:e>
                        <m:r>
                          <w:rPr>
                            <w:rFonts w:ascii="Cambria Math" w:hAnsi="Cambria Math" w:cs="Arial"/>
                            <w:sz w:val="18"/>
                            <w:szCs w:val="18"/>
                            <w:lang w:val="fr-FR"/>
                          </w:rPr>
                          <m:t>d</m:t>
                        </m:r>
                      </m:e>
                      <m:sup>
                        <m:r>
                          <w:rPr>
                            <w:rFonts w:ascii="Cambria Math" w:hAnsi="Cambria Math" w:cs="Arial"/>
                            <w:sz w:val="18"/>
                            <w:szCs w:val="18"/>
                            <w:lang w:val="fr-FR"/>
                          </w:rPr>
                          <m:t>'</m:t>
                        </m:r>
                      </m:sup>
                    </m:sSup>
                    <m:r>
                      <w:rPr>
                        <w:rFonts w:ascii="Cambria Math" w:hAnsi="Cambria Math" w:cs="Arial"/>
                        <w:sz w:val="18"/>
                        <w:szCs w:val="18"/>
                        <w:lang w:val="fr-FR"/>
                      </w:rPr>
                      <m:t>affaires TTC</m:t>
                    </m:r>
                  </m:den>
                </m:f>
                <m:r>
                  <w:rPr>
                    <w:rFonts w:ascii="Cambria Math" w:hAnsi="Cambria Math" w:cs="Arial"/>
                    <w:sz w:val="18"/>
                    <w:szCs w:val="18"/>
                    <w:lang w:val="fr-FR"/>
                  </w:rPr>
                  <m:t>×365</m:t>
                </m:r>
              </m:oMath>
            </m:oMathPara>
          </w:p>
        </w:tc>
        <w:tc>
          <w:tcPr>
            <w:tcW w:w="5953" w:type="dxa"/>
            <w:vAlign w:val="center"/>
          </w:tcPr>
          <w:p w14:paraId="74A1D6E0" w14:textId="790BDBE9"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le nombre de jours dont dispose l’entreprise pour collecter ses créances. Un délai court sera apprécié. C’est un indicateur qui est influencé par le secteur d’activité. </w:t>
            </w:r>
          </w:p>
        </w:tc>
      </w:tr>
      <w:tr w:rsidR="001A30AC" w:rsidRPr="00FD5E73" w14:paraId="6A105752" w14:textId="77777777" w:rsidTr="00786F53">
        <w:trPr>
          <w:jc w:val="center"/>
        </w:trPr>
        <w:tc>
          <w:tcPr>
            <w:tcW w:w="2547" w:type="dxa"/>
            <w:vAlign w:val="center"/>
          </w:tcPr>
          <w:p w14:paraId="73163518" w14:textId="05240B79"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Délai de paiement aux fournisseurs (DPF)</w:t>
            </w:r>
          </w:p>
        </w:tc>
        <w:tc>
          <w:tcPr>
            <w:tcW w:w="5812" w:type="dxa"/>
            <w:vAlign w:val="center"/>
          </w:tcPr>
          <w:p w14:paraId="35FFDFEB" w14:textId="26F5AC28" w:rsidR="001A30AC" w:rsidRPr="00B614EE" w:rsidRDefault="00356F0C" w:rsidP="0026330A">
            <w:pPr>
              <w:spacing w:before="120" w:after="120"/>
              <w:rPr>
                <w:rFonts w:ascii="Constantia" w:hAnsi="Constantia" w:cs="Arial"/>
                <w:sz w:val="18"/>
                <w:szCs w:val="18"/>
                <w:lang w:val="fr-FR"/>
              </w:rPr>
            </w:pPr>
            <m:oMathPara>
              <m:oMath>
                <m:f>
                  <m:fPr>
                    <m:ctrlPr>
                      <w:rPr>
                        <w:rFonts w:ascii="Cambria Math" w:hAnsi="Cambria Math" w:cs="Arial"/>
                        <w:i/>
                        <w:sz w:val="18"/>
                        <w:szCs w:val="18"/>
                        <w:lang w:val="fr-FR"/>
                      </w:rPr>
                    </m:ctrlPr>
                  </m:fPr>
                  <m:num>
                    <m:r>
                      <w:rPr>
                        <w:rFonts w:ascii="Cambria Math" w:hAnsi="Cambria Math" w:cs="Arial"/>
                        <w:sz w:val="18"/>
                        <w:szCs w:val="18"/>
                        <w:lang w:val="fr-FR"/>
                      </w:rPr>
                      <m:t>Dettes fournisseurs</m:t>
                    </m:r>
                  </m:num>
                  <m:den>
                    <m:r>
                      <w:rPr>
                        <w:rFonts w:ascii="Cambria Math" w:hAnsi="Cambria Math" w:cs="Arial"/>
                        <w:sz w:val="18"/>
                        <w:szCs w:val="18"/>
                        <w:lang w:val="fr-FR"/>
                      </w:rPr>
                      <m:t>Achat TTC</m:t>
                    </m:r>
                  </m:den>
                </m:f>
                <m:r>
                  <w:rPr>
                    <w:rFonts w:ascii="Cambria Math" w:hAnsi="Cambria Math" w:cs="Arial"/>
                    <w:sz w:val="18"/>
                    <w:szCs w:val="18"/>
                    <w:lang w:val="fr-FR"/>
                  </w:rPr>
                  <m:t>×365</m:t>
                </m:r>
              </m:oMath>
            </m:oMathPara>
          </w:p>
        </w:tc>
        <w:tc>
          <w:tcPr>
            <w:tcW w:w="5953" w:type="dxa"/>
            <w:vAlign w:val="center"/>
          </w:tcPr>
          <w:p w14:paraId="343DFA23" w14:textId="71119614"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le nombre de jours dont dispose l’entreprise pour régler ses dettes fournisseurs. Un délai court sera apprécié. Un délai ± 45 jours est recommandé. L’indicateur est aussi influencé par le secteur d’activité. </w:t>
            </w:r>
          </w:p>
        </w:tc>
      </w:tr>
      <w:tr w:rsidR="001A30AC" w:rsidRPr="00FE43CD" w14:paraId="1FA4CC8A" w14:textId="77777777" w:rsidTr="00786F53">
        <w:trPr>
          <w:jc w:val="center"/>
        </w:trPr>
        <w:tc>
          <w:tcPr>
            <w:tcW w:w="2547" w:type="dxa"/>
            <w:vAlign w:val="center"/>
          </w:tcPr>
          <w:p w14:paraId="3C0F02E8" w14:textId="574E6AAE"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Cycle d’exploitation (CE)</w:t>
            </w:r>
          </w:p>
        </w:tc>
        <w:tc>
          <w:tcPr>
            <w:tcW w:w="5812" w:type="dxa"/>
            <w:vAlign w:val="center"/>
          </w:tcPr>
          <w:p w14:paraId="26EF4098" w14:textId="3EF03E49" w:rsidR="001A30AC" w:rsidRPr="00B614EE" w:rsidRDefault="008A47B5" w:rsidP="0026330A">
            <w:pPr>
              <w:spacing w:before="120" w:after="120"/>
              <w:rPr>
                <w:rFonts w:ascii="Constantia" w:hAnsi="Constantia" w:cs="Arial"/>
                <w:sz w:val="18"/>
                <w:szCs w:val="18"/>
                <w:lang w:val="fr-FR"/>
              </w:rPr>
            </w:pPr>
            <m:oMathPara>
              <m:oMath>
                <m:r>
                  <w:rPr>
                    <w:rFonts w:ascii="Cambria Math" w:hAnsi="Cambria Math" w:cs="Arial"/>
                    <w:sz w:val="18"/>
                    <w:szCs w:val="18"/>
                    <w:lang w:val="fr-FR"/>
                  </w:rPr>
                  <m:t>DRCC+DPF</m:t>
                </m:r>
              </m:oMath>
            </m:oMathPara>
          </w:p>
        </w:tc>
        <w:tc>
          <w:tcPr>
            <w:tcW w:w="5953" w:type="dxa"/>
            <w:vAlign w:val="center"/>
          </w:tcPr>
          <w:p w14:paraId="438DD78B" w14:textId="35042B2F" w:rsidR="001A30AC"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le nombre de jours nécessaires à l’entreprise pour convertir ses stocks en liquidité (trésorerie). Il est recommandé d’avoir un délai court. L’indicateur doit être comparé à d’autres entreprise du même secteur ou partageants les mêmes caractéristiques. </w:t>
            </w:r>
          </w:p>
        </w:tc>
      </w:tr>
      <w:tr w:rsidR="001A30AC" w:rsidRPr="00FE43CD" w14:paraId="67586AE5" w14:textId="77777777" w:rsidTr="00786F53">
        <w:trPr>
          <w:jc w:val="center"/>
        </w:trPr>
        <w:tc>
          <w:tcPr>
            <w:tcW w:w="2547" w:type="dxa"/>
            <w:vAlign w:val="center"/>
          </w:tcPr>
          <w:p w14:paraId="19EAE717" w14:textId="69523C2F" w:rsidR="001A30AC" w:rsidRPr="008A47B5" w:rsidRDefault="001A30AC" w:rsidP="008A47B5">
            <w:pPr>
              <w:spacing w:before="120" w:after="120"/>
              <w:jc w:val="center"/>
              <w:rPr>
                <w:rFonts w:ascii="Constantia" w:hAnsi="Constantia" w:cs="Arial"/>
                <w:b/>
                <w:bCs/>
                <w:sz w:val="20"/>
                <w:szCs w:val="20"/>
                <w:lang w:val="fr-FR"/>
              </w:rPr>
            </w:pPr>
            <w:r w:rsidRPr="008A47B5">
              <w:rPr>
                <w:rFonts w:ascii="Constantia" w:hAnsi="Constantia" w:cs="Arial"/>
                <w:b/>
                <w:bCs/>
                <w:sz w:val="20"/>
                <w:szCs w:val="20"/>
                <w:lang w:val="fr-FR"/>
              </w:rPr>
              <w:t>Cycle de trésorerie (CT)</w:t>
            </w:r>
          </w:p>
        </w:tc>
        <w:tc>
          <w:tcPr>
            <w:tcW w:w="5812" w:type="dxa"/>
            <w:vAlign w:val="center"/>
          </w:tcPr>
          <w:p w14:paraId="63B017DF" w14:textId="19DD2F51" w:rsidR="001A30AC" w:rsidRPr="00B614EE" w:rsidRDefault="008A47B5" w:rsidP="0026330A">
            <w:pPr>
              <w:spacing w:before="120" w:after="120"/>
              <w:rPr>
                <w:rFonts w:ascii="Constantia" w:hAnsi="Constantia" w:cs="Arial"/>
                <w:sz w:val="18"/>
                <w:szCs w:val="18"/>
                <w:lang w:val="fr-FR"/>
              </w:rPr>
            </w:pPr>
            <m:oMathPara>
              <m:oMath>
                <m:r>
                  <w:rPr>
                    <w:rFonts w:ascii="Cambria Math" w:hAnsi="Cambria Math" w:cs="Arial"/>
                    <w:sz w:val="18"/>
                    <w:szCs w:val="18"/>
                    <w:lang w:val="fr-FR"/>
                  </w:rPr>
                  <m:t>DRCC+DPF-DPF</m:t>
                </m:r>
              </m:oMath>
            </m:oMathPara>
          </w:p>
        </w:tc>
        <w:tc>
          <w:tcPr>
            <w:tcW w:w="5953" w:type="dxa"/>
            <w:vAlign w:val="center"/>
          </w:tcPr>
          <w:p w14:paraId="7590C0E4" w14:textId="6290CAE1" w:rsidR="001A30AC" w:rsidRPr="00B614EE" w:rsidRDefault="001A30AC" w:rsidP="0026330A">
            <w:pPr>
              <w:spacing w:before="120" w:after="120"/>
              <w:jc w:val="both"/>
              <w:rPr>
                <w:rFonts w:ascii="Constantia" w:hAnsi="Constantia" w:cs="Arial"/>
                <w:sz w:val="18"/>
                <w:szCs w:val="18"/>
                <w:lang w:val="fr-FR"/>
              </w:rPr>
            </w:pPr>
            <w:r>
              <w:rPr>
                <w:rFonts w:ascii="Constantia" w:hAnsi="Constantia" w:cs="Arial"/>
                <w:sz w:val="18"/>
                <w:szCs w:val="18"/>
                <w:lang w:val="fr-FR"/>
              </w:rPr>
              <w:t xml:space="preserve">Indique le nombre de jours nécessaires à l’entreprise pour convertir ses stocks et ses créances en liquidité (trésorerie). Il est recommandé d’avoir un délai court. L’indicateur doit être comparé à d’autres entreprise du même secteur ou partageants les mêmes caractéristiques. L’indicateur permet d’évaluer l’efficacité des dirigeants dans la gestion du Besoin de Financement Global. </w:t>
            </w:r>
          </w:p>
        </w:tc>
      </w:tr>
    </w:tbl>
    <w:p w14:paraId="530E5A68" w14:textId="77777777" w:rsidR="00D06DC2" w:rsidRPr="00D06DC2" w:rsidRDefault="00D06DC2" w:rsidP="00D06DC2">
      <w:pPr>
        <w:rPr>
          <w:rFonts w:ascii="Arial" w:hAnsi="Arial" w:cs="Arial"/>
          <w:sz w:val="18"/>
          <w:szCs w:val="18"/>
          <w:lang w:val="fr-FR"/>
        </w:rPr>
      </w:pPr>
    </w:p>
    <w:sectPr w:rsidR="00D06DC2" w:rsidRPr="00D06DC2" w:rsidSect="00B5126C">
      <w:headerReference w:type="default" r:id="rId14"/>
      <w:pgSz w:w="15840" w:h="12240" w:orient="landscape"/>
      <w:pgMar w:top="720" w:right="720" w:bottom="720" w:left="720" w:header="340" w:footer="6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F10C" w14:textId="77777777" w:rsidR="00356F0C" w:rsidRDefault="00356F0C" w:rsidP="008743A1">
      <w:pPr>
        <w:spacing w:after="0" w:line="240" w:lineRule="auto"/>
      </w:pPr>
      <w:r>
        <w:separator/>
      </w:r>
    </w:p>
  </w:endnote>
  <w:endnote w:type="continuationSeparator" w:id="0">
    <w:p w14:paraId="65F96AEC" w14:textId="77777777" w:rsidR="00356F0C" w:rsidRDefault="00356F0C" w:rsidP="008743A1">
      <w:pPr>
        <w:spacing w:after="0" w:line="240" w:lineRule="auto"/>
      </w:pPr>
      <w:r>
        <w:continuationSeparator/>
      </w:r>
    </w:p>
  </w:endnote>
  <w:endnote w:type="continuationNotice" w:id="1">
    <w:p w14:paraId="710EC9BB" w14:textId="77777777" w:rsidR="00356F0C" w:rsidRDefault="00356F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CA7C" w14:textId="7B69FBFE" w:rsidR="008743A1" w:rsidRPr="005962DB" w:rsidRDefault="008743A1" w:rsidP="00077CB7">
    <w:pPr>
      <w:pStyle w:val="Pieddepage"/>
      <w:jc w:val="both"/>
      <w:rPr>
        <w:rFonts w:ascii="Constantia" w:hAnsi="Constantia"/>
        <w:b/>
        <w:bCs/>
        <w:sz w:val="14"/>
        <w:szCs w:val="1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C415" w14:textId="77777777" w:rsidR="00356F0C" w:rsidRDefault="00356F0C" w:rsidP="008743A1">
      <w:pPr>
        <w:spacing w:after="0" w:line="240" w:lineRule="auto"/>
      </w:pPr>
      <w:r>
        <w:separator/>
      </w:r>
    </w:p>
  </w:footnote>
  <w:footnote w:type="continuationSeparator" w:id="0">
    <w:p w14:paraId="36458A11" w14:textId="77777777" w:rsidR="00356F0C" w:rsidRDefault="00356F0C" w:rsidP="008743A1">
      <w:pPr>
        <w:spacing w:after="0" w:line="240" w:lineRule="auto"/>
      </w:pPr>
      <w:r>
        <w:continuationSeparator/>
      </w:r>
    </w:p>
  </w:footnote>
  <w:footnote w:type="continuationNotice" w:id="1">
    <w:p w14:paraId="221F74CF" w14:textId="77777777" w:rsidR="00356F0C" w:rsidRDefault="00356F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1405" w14:textId="265A9099" w:rsidR="008743A1" w:rsidRPr="00D26094" w:rsidRDefault="008743A1" w:rsidP="000D3C8C">
    <w:pPr>
      <w:pStyle w:val="En-tte"/>
      <w:rPr>
        <w:rFonts w:ascii="Constantia" w:hAnsi="Constantia"/>
        <w:b/>
        <w:bCs/>
        <w:color w:val="0070C0"/>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DE8D" w14:textId="2BF54B3E" w:rsidR="00D06DC2" w:rsidRPr="00D26094" w:rsidRDefault="00D06DC2" w:rsidP="00B5126C">
    <w:pPr>
      <w:pStyle w:val="En-tte"/>
      <w:rPr>
        <w:rFonts w:ascii="Arial Narrow" w:hAnsi="Arial Narrow"/>
        <w:b/>
        <w:bCs/>
        <w:color w:val="0070C0"/>
        <w:sz w:val="24"/>
        <w:szCs w:val="24"/>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A1"/>
    <w:multiLevelType w:val="hybridMultilevel"/>
    <w:tmpl w:val="33362824"/>
    <w:lvl w:ilvl="0" w:tplc="C0C25CD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330CD"/>
    <w:multiLevelType w:val="hybridMultilevel"/>
    <w:tmpl w:val="DA7C6B9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168EA"/>
    <w:multiLevelType w:val="hybridMultilevel"/>
    <w:tmpl w:val="2E189B6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A0"/>
    <w:multiLevelType w:val="hybridMultilevel"/>
    <w:tmpl w:val="0D70D92E"/>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A62DB"/>
    <w:multiLevelType w:val="hybridMultilevel"/>
    <w:tmpl w:val="D2CA162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64F11"/>
    <w:multiLevelType w:val="hybridMultilevel"/>
    <w:tmpl w:val="F03E3C5A"/>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A366F"/>
    <w:multiLevelType w:val="hybridMultilevel"/>
    <w:tmpl w:val="008685F0"/>
    <w:lvl w:ilvl="0" w:tplc="D1646CAC">
      <w:start w:val="1"/>
      <w:numFmt w:val="bullet"/>
      <w:lvlText w:val=""/>
      <w:lvlJc w:val="left"/>
      <w:pPr>
        <w:ind w:left="720" w:hanging="360"/>
      </w:pPr>
      <w:rPr>
        <w:rFonts w:ascii="Symbol" w:hAnsi="Symbol" w:hint="default"/>
      </w:rPr>
    </w:lvl>
    <w:lvl w:ilvl="1" w:tplc="6A0244EA">
      <w:start w:val="1"/>
      <w:numFmt w:val="bullet"/>
      <w:lvlText w:val="o"/>
      <w:lvlJc w:val="left"/>
      <w:pPr>
        <w:ind w:left="1440" w:hanging="360"/>
      </w:pPr>
      <w:rPr>
        <w:rFonts w:ascii="Courier New" w:hAnsi="Courier New" w:hint="default"/>
      </w:rPr>
    </w:lvl>
    <w:lvl w:ilvl="2" w:tplc="19C87080">
      <w:start w:val="1"/>
      <w:numFmt w:val="bullet"/>
      <w:lvlText w:val=""/>
      <w:lvlJc w:val="left"/>
      <w:pPr>
        <w:ind w:left="2160" w:hanging="360"/>
      </w:pPr>
      <w:rPr>
        <w:rFonts w:ascii="Wingdings" w:hAnsi="Wingdings" w:hint="default"/>
      </w:rPr>
    </w:lvl>
    <w:lvl w:ilvl="3" w:tplc="5F4C6250">
      <w:start w:val="1"/>
      <w:numFmt w:val="bullet"/>
      <w:lvlText w:val=""/>
      <w:lvlJc w:val="left"/>
      <w:pPr>
        <w:ind w:left="2880" w:hanging="360"/>
      </w:pPr>
      <w:rPr>
        <w:rFonts w:ascii="Symbol" w:hAnsi="Symbol" w:hint="default"/>
      </w:rPr>
    </w:lvl>
    <w:lvl w:ilvl="4" w:tplc="27C28196">
      <w:start w:val="1"/>
      <w:numFmt w:val="bullet"/>
      <w:lvlText w:val="o"/>
      <w:lvlJc w:val="left"/>
      <w:pPr>
        <w:ind w:left="3600" w:hanging="360"/>
      </w:pPr>
      <w:rPr>
        <w:rFonts w:ascii="Courier New" w:hAnsi="Courier New" w:hint="default"/>
      </w:rPr>
    </w:lvl>
    <w:lvl w:ilvl="5" w:tplc="C982F41C">
      <w:start w:val="1"/>
      <w:numFmt w:val="bullet"/>
      <w:lvlText w:val=""/>
      <w:lvlJc w:val="left"/>
      <w:pPr>
        <w:ind w:left="4320" w:hanging="360"/>
      </w:pPr>
      <w:rPr>
        <w:rFonts w:ascii="Wingdings" w:hAnsi="Wingdings" w:hint="default"/>
      </w:rPr>
    </w:lvl>
    <w:lvl w:ilvl="6" w:tplc="7ABCFDCE">
      <w:start w:val="1"/>
      <w:numFmt w:val="bullet"/>
      <w:lvlText w:val=""/>
      <w:lvlJc w:val="left"/>
      <w:pPr>
        <w:ind w:left="5040" w:hanging="360"/>
      </w:pPr>
      <w:rPr>
        <w:rFonts w:ascii="Symbol" w:hAnsi="Symbol" w:hint="default"/>
      </w:rPr>
    </w:lvl>
    <w:lvl w:ilvl="7" w:tplc="835E15D4">
      <w:start w:val="1"/>
      <w:numFmt w:val="bullet"/>
      <w:lvlText w:val="o"/>
      <w:lvlJc w:val="left"/>
      <w:pPr>
        <w:ind w:left="5760" w:hanging="360"/>
      </w:pPr>
      <w:rPr>
        <w:rFonts w:ascii="Courier New" w:hAnsi="Courier New" w:hint="default"/>
      </w:rPr>
    </w:lvl>
    <w:lvl w:ilvl="8" w:tplc="B52CD862">
      <w:start w:val="1"/>
      <w:numFmt w:val="bullet"/>
      <w:lvlText w:val=""/>
      <w:lvlJc w:val="left"/>
      <w:pPr>
        <w:ind w:left="6480" w:hanging="360"/>
      </w:pPr>
      <w:rPr>
        <w:rFonts w:ascii="Wingdings" w:hAnsi="Wingdings" w:hint="default"/>
      </w:rPr>
    </w:lvl>
  </w:abstractNum>
  <w:abstractNum w:abstractNumId="7" w15:restartNumberingAfterBreak="0">
    <w:nsid w:val="1DEF039D"/>
    <w:multiLevelType w:val="hybridMultilevel"/>
    <w:tmpl w:val="BEFEB070"/>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06F0D"/>
    <w:multiLevelType w:val="hybridMultilevel"/>
    <w:tmpl w:val="3B06DB3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255AC"/>
    <w:multiLevelType w:val="hybridMultilevel"/>
    <w:tmpl w:val="DA7C6B9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879C2"/>
    <w:multiLevelType w:val="hybridMultilevel"/>
    <w:tmpl w:val="D2CA162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41C94"/>
    <w:multiLevelType w:val="hybridMultilevel"/>
    <w:tmpl w:val="3B06DB3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D490D"/>
    <w:multiLevelType w:val="hybridMultilevel"/>
    <w:tmpl w:val="79C88CC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E3B73"/>
    <w:multiLevelType w:val="hybridMultilevel"/>
    <w:tmpl w:val="0852B6E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D258E"/>
    <w:multiLevelType w:val="hybridMultilevel"/>
    <w:tmpl w:val="C5D86EBE"/>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92F6D"/>
    <w:multiLevelType w:val="hybridMultilevel"/>
    <w:tmpl w:val="4A287006"/>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B13D9"/>
    <w:multiLevelType w:val="hybridMultilevel"/>
    <w:tmpl w:val="5964E38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F646E"/>
    <w:multiLevelType w:val="hybridMultilevel"/>
    <w:tmpl w:val="4710B8B8"/>
    <w:lvl w:ilvl="0" w:tplc="11D2FC1E">
      <w:start w:val="1"/>
      <w:numFmt w:val="bullet"/>
      <w:lvlText w:val=""/>
      <w:lvlJc w:val="left"/>
      <w:pPr>
        <w:ind w:left="720" w:hanging="360"/>
      </w:pPr>
      <w:rPr>
        <w:rFonts w:ascii="Symbol" w:hAnsi="Symbol" w:hint="default"/>
      </w:rPr>
    </w:lvl>
    <w:lvl w:ilvl="1" w:tplc="B9884F76">
      <w:start w:val="1"/>
      <w:numFmt w:val="bullet"/>
      <w:lvlText w:val="o"/>
      <w:lvlJc w:val="left"/>
      <w:pPr>
        <w:ind w:left="1440" w:hanging="360"/>
      </w:pPr>
      <w:rPr>
        <w:rFonts w:ascii="Courier New" w:hAnsi="Courier New" w:hint="default"/>
      </w:rPr>
    </w:lvl>
    <w:lvl w:ilvl="2" w:tplc="C8D299EC">
      <w:start w:val="1"/>
      <w:numFmt w:val="bullet"/>
      <w:lvlText w:val=""/>
      <w:lvlJc w:val="left"/>
      <w:pPr>
        <w:ind w:left="2160" w:hanging="360"/>
      </w:pPr>
      <w:rPr>
        <w:rFonts w:ascii="Wingdings" w:hAnsi="Wingdings" w:hint="default"/>
      </w:rPr>
    </w:lvl>
    <w:lvl w:ilvl="3" w:tplc="A1466266">
      <w:start w:val="1"/>
      <w:numFmt w:val="bullet"/>
      <w:lvlText w:val=""/>
      <w:lvlJc w:val="left"/>
      <w:pPr>
        <w:ind w:left="2880" w:hanging="360"/>
      </w:pPr>
      <w:rPr>
        <w:rFonts w:ascii="Symbol" w:hAnsi="Symbol" w:hint="default"/>
      </w:rPr>
    </w:lvl>
    <w:lvl w:ilvl="4" w:tplc="398C27A2">
      <w:start w:val="1"/>
      <w:numFmt w:val="bullet"/>
      <w:lvlText w:val="o"/>
      <w:lvlJc w:val="left"/>
      <w:pPr>
        <w:ind w:left="3600" w:hanging="360"/>
      </w:pPr>
      <w:rPr>
        <w:rFonts w:ascii="Courier New" w:hAnsi="Courier New" w:hint="default"/>
      </w:rPr>
    </w:lvl>
    <w:lvl w:ilvl="5" w:tplc="E416B952">
      <w:start w:val="1"/>
      <w:numFmt w:val="bullet"/>
      <w:lvlText w:val=""/>
      <w:lvlJc w:val="left"/>
      <w:pPr>
        <w:ind w:left="4320" w:hanging="360"/>
      </w:pPr>
      <w:rPr>
        <w:rFonts w:ascii="Wingdings" w:hAnsi="Wingdings" w:hint="default"/>
      </w:rPr>
    </w:lvl>
    <w:lvl w:ilvl="6" w:tplc="EFEE46BC">
      <w:start w:val="1"/>
      <w:numFmt w:val="bullet"/>
      <w:lvlText w:val=""/>
      <w:lvlJc w:val="left"/>
      <w:pPr>
        <w:ind w:left="5040" w:hanging="360"/>
      </w:pPr>
      <w:rPr>
        <w:rFonts w:ascii="Symbol" w:hAnsi="Symbol" w:hint="default"/>
      </w:rPr>
    </w:lvl>
    <w:lvl w:ilvl="7" w:tplc="19B45AB6">
      <w:start w:val="1"/>
      <w:numFmt w:val="bullet"/>
      <w:lvlText w:val="o"/>
      <w:lvlJc w:val="left"/>
      <w:pPr>
        <w:ind w:left="5760" w:hanging="360"/>
      </w:pPr>
      <w:rPr>
        <w:rFonts w:ascii="Courier New" w:hAnsi="Courier New" w:hint="default"/>
      </w:rPr>
    </w:lvl>
    <w:lvl w:ilvl="8" w:tplc="5C2A380C">
      <w:start w:val="1"/>
      <w:numFmt w:val="bullet"/>
      <w:lvlText w:val=""/>
      <w:lvlJc w:val="left"/>
      <w:pPr>
        <w:ind w:left="6480" w:hanging="360"/>
      </w:pPr>
      <w:rPr>
        <w:rFonts w:ascii="Wingdings" w:hAnsi="Wingdings" w:hint="default"/>
      </w:rPr>
    </w:lvl>
  </w:abstractNum>
  <w:abstractNum w:abstractNumId="18" w15:restartNumberingAfterBreak="0">
    <w:nsid w:val="61E550CE"/>
    <w:multiLevelType w:val="hybridMultilevel"/>
    <w:tmpl w:val="77DEE434"/>
    <w:lvl w:ilvl="0" w:tplc="34D8B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B67DF"/>
    <w:multiLevelType w:val="hybridMultilevel"/>
    <w:tmpl w:val="5964E38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401E4"/>
    <w:multiLevelType w:val="hybridMultilevel"/>
    <w:tmpl w:val="9FD671D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761E6"/>
    <w:multiLevelType w:val="multilevel"/>
    <w:tmpl w:val="8A4C0276"/>
    <w:lvl w:ilvl="0">
      <w:start w:val="1"/>
      <w:numFmt w:val="decimal"/>
      <w:pStyle w:val="Titre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12"/>
  </w:num>
  <w:num w:numId="3">
    <w:abstractNumId w:val="6"/>
  </w:num>
  <w:num w:numId="4">
    <w:abstractNumId w:val="17"/>
  </w:num>
  <w:num w:numId="5">
    <w:abstractNumId w:val="18"/>
  </w:num>
  <w:num w:numId="6">
    <w:abstractNumId w:val="15"/>
  </w:num>
  <w:num w:numId="7">
    <w:abstractNumId w:val="3"/>
  </w:num>
  <w:num w:numId="8">
    <w:abstractNumId w:val="0"/>
  </w:num>
  <w:num w:numId="9">
    <w:abstractNumId w:val="14"/>
  </w:num>
  <w:num w:numId="10">
    <w:abstractNumId w:val="10"/>
  </w:num>
  <w:num w:numId="11">
    <w:abstractNumId w:val="4"/>
  </w:num>
  <w:num w:numId="12">
    <w:abstractNumId w:val="20"/>
  </w:num>
  <w:num w:numId="13">
    <w:abstractNumId w:val="9"/>
  </w:num>
  <w:num w:numId="14">
    <w:abstractNumId w:val="1"/>
  </w:num>
  <w:num w:numId="15">
    <w:abstractNumId w:val="13"/>
  </w:num>
  <w:num w:numId="16">
    <w:abstractNumId w:val="2"/>
  </w:num>
  <w:num w:numId="17">
    <w:abstractNumId w:val="16"/>
  </w:num>
  <w:num w:numId="18">
    <w:abstractNumId w:val="19"/>
  </w:num>
  <w:num w:numId="19">
    <w:abstractNumId w:val="11"/>
  </w:num>
  <w:num w:numId="20">
    <w:abstractNumId w:val="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EE"/>
    <w:rsid w:val="000001BE"/>
    <w:rsid w:val="0000381D"/>
    <w:rsid w:val="000106C6"/>
    <w:rsid w:val="0001385D"/>
    <w:rsid w:val="00020B30"/>
    <w:rsid w:val="0002210B"/>
    <w:rsid w:val="00024577"/>
    <w:rsid w:val="00026351"/>
    <w:rsid w:val="00031307"/>
    <w:rsid w:val="000471A2"/>
    <w:rsid w:val="00051428"/>
    <w:rsid w:val="00074725"/>
    <w:rsid w:val="00075418"/>
    <w:rsid w:val="000762E0"/>
    <w:rsid w:val="00077CB7"/>
    <w:rsid w:val="00081DD4"/>
    <w:rsid w:val="00082AA3"/>
    <w:rsid w:val="00090E76"/>
    <w:rsid w:val="000914E9"/>
    <w:rsid w:val="000A4F00"/>
    <w:rsid w:val="000C16DA"/>
    <w:rsid w:val="000C34D0"/>
    <w:rsid w:val="000D19A4"/>
    <w:rsid w:val="000D3C8C"/>
    <w:rsid w:val="000E129E"/>
    <w:rsid w:val="000E31A1"/>
    <w:rsid w:val="000F38BA"/>
    <w:rsid w:val="00110B86"/>
    <w:rsid w:val="0011167B"/>
    <w:rsid w:val="00111F5F"/>
    <w:rsid w:val="001164D6"/>
    <w:rsid w:val="00116DD4"/>
    <w:rsid w:val="00125914"/>
    <w:rsid w:val="00131BE3"/>
    <w:rsid w:val="00134A8F"/>
    <w:rsid w:val="001402AE"/>
    <w:rsid w:val="001428F1"/>
    <w:rsid w:val="001438F4"/>
    <w:rsid w:val="00157AB8"/>
    <w:rsid w:val="00166787"/>
    <w:rsid w:val="001673DF"/>
    <w:rsid w:val="001716BB"/>
    <w:rsid w:val="00174ACE"/>
    <w:rsid w:val="00177E00"/>
    <w:rsid w:val="00192728"/>
    <w:rsid w:val="00195AAD"/>
    <w:rsid w:val="001A30AC"/>
    <w:rsid w:val="001B5277"/>
    <w:rsid w:val="001B5E63"/>
    <w:rsid w:val="001C293B"/>
    <w:rsid w:val="001C703C"/>
    <w:rsid w:val="001D07DE"/>
    <w:rsid w:val="001E2B00"/>
    <w:rsid w:val="001E51E7"/>
    <w:rsid w:val="001E58A2"/>
    <w:rsid w:val="001F17AF"/>
    <w:rsid w:val="001F2B7D"/>
    <w:rsid w:val="001F36D7"/>
    <w:rsid w:val="002022F1"/>
    <w:rsid w:val="00211F1D"/>
    <w:rsid w:val="00212A6D"/>
    <w:rsid w:val="002147F3"/>
    <w:rsid w:val="00214C3A"/>
    <w:rsid w:val="002170B6"/>
    <w:rsid w:val="00224F6A"/>
    <w:rsid w:val="002256E8"/>
    <w:rsid w:val="00227ADA"/>
    <w:rsid w:val="00232678"/>
    <w:rsid w:val="00235D10"/>
    <w:rsid w:val="002417FC"/>
    <w:rsid w:val="00246BC3"/>
    <w:rsid w:val="00247D87"/>
    <w:rsid w:val="00250DF3"/>
    <w:rsid w:val="0026330A"/>
    <w:rsid w:val="00276AE3"/>
    <w:rsid w:val="00284707"/>
    <w:rsid w:val="002860A6"/>
    <w:rsid w:val="00287DFF"/>
    <w:rsid w:val="002910CA"/>
    <w:rsid w:val="00291E28"/>
    <w:rsid w:val="0029312D"/>
    <w:rsid w:val="00293499"/>
    <w:rsid w:val="00293623"/>
    <w:rsid w:val="002B687E"/>
    <w:rsid w:val="002C179D"/>
    <w:rsid w:val="002C5CF8"/>
    <w:rsid w:val="002C6EF6"/>
    <w:rsid w:val="002D0C65"/>
    <w:rsid w:val="00301768"/>
    <w:rsid w:val="00301DAD"/>
    <w:rsid w:val="003076DC"/>
    <w:rsid w:val="00316221"/>
    <w:rsid w:val="0032268F"/>
    <w:rsid w:val="00323651"/>
    <w:rsid w:val="00326BFC"/>
    <w:rsid w:val="00327AC0"/>
    <w:rsid w:val="003344AC"/>
    <w:rsid w:val="0033640E"/>
    <w:rsid w:val="003371C5"/>
    <w:rsid w:val="0035324F"/>
    <w:rsid w:val="00356F0C"/>
    <w:rsid w:val="003604F0"/>
    <w:rsid w:val="00361D99"/>
    <w:rsid w:val="00367AF2"/>
    <w:rsid w:val="00386BEA"/>
    <w:rsid w:val="003912D1"/>
    <w:rsid w:val="003977E1"/>
    <w:rsid w:val="003A5791"/>
    <w:rsid w:val="003A5972"/>
    <w:rsid w:val="003A5D9A"/>
    <w:rsid w:val="003C2E71"/>
    <w:rsid w:val="003C3661"/>
    <w:rsid w:val="003D59E3"/>
    <w:rsid w:val="003D610E"/>
    <w:rsid w:val="003D6929"/>
    <w:rsid w:val="003D6BAD"/>
    <w:rsid w:val="003E1615"/>
    <w:rsid w:val="003E42A7"/>
    <w:rsid w:val="003E433A"/>
    <w:rsid w:val="003E44AE"/>
    <w:rsid w:val="003F14B3"/>
    <w:rsid w:val="003F2AFD"/>
    <w:rsid w:val="003F3DEB"/>
    <w:rsid w:val="003F737D"/>
    <w:rsid w:val="00405FE3"/>
    <w:rsid w:val="004120BB"/>
    <w:rsid w:val="004149B9"/>
    <w:rsid w:val="00414AD3"/>
    <w:rsid w:val="00417685"/>
    <w:rsid w:val="00434386"/>
    <w:rsid w:val="00436D2B"/>
    <w:rsid w:val="00447F39"/>
    <w:rsid w:val="0045560F"/>
    <w:rsid w:val="00464C30"/>
    <w:rsid w:val="00471A1B"/>
    <w:rsid w:val="00492354"/>
    <w:rsid w:val="00493A00"/>
    <w:rsid w:val="004967C6"/>
    <w:rsid w:val="004A3A49"/>
    <w:rsid w:val="004B2FB5"/>
    <w:rsid w:val="004B48A4"/>
    <w:rsid w:val="004B6C95"/>
    <w:rsid w:val="004C1C3D"/>
    <w:rsid w:val="004D74BA"/>
    <w:rsid w:val="004F10B1"/>
    <w:rsid w:val="004F3B17"/>
    <w:rsid w:val="004F4E37"/>
    <w:rsid w:val="004F7AB1"/>
    <w:rsid w:val="0052102A"/>
    <w:rsid w:val="00521440"/>
    <w:rsid w:val="0052671B"/>
    <w:rsid w:val="00535D2B"/>
    <w:rsid w:val="00537F77"/>
    <w:rsid w:val="00541B07"/>
    <w:rsid w:val="0054222D"/>
    <w:rsid w:val="0054222F"/>
    <w:rsid w:val="00552115"/>
    <w:rsid w:val="00564232"/>
    <w:rsid w:val="00575326"/>
    <w:rsid w:val="005813E7"/>
    <w:rsid w:val="0058196F"/>
    <w:rsid w:val="00583642"/>
    <w:rsid w:val="0058787E"/>
    <w:rsid w:val="005962DB"/>
    <w:rsid w:val="00597F3F"/>
    <w:rsid w:val="005A4401"/>
    <w:rsid w:val="005A78B9"/>
    <w:rsid w:val="005C333B"/>
    <w:rsid w:val="005E4B7D"/>
    <w:rsid w:val="005E7F56"/>
    <w:rsid w:val="005F4349"/>
    <w:rsid w:val="006002D5"/>
    <w:rsid w:val="00602E19"/>
    <w:rsid w:val="00610B05"/>
    <w:rsid w:val="00625486"/>
    <w:rsid w:val="006319EE"/>
    <w:rsid w:val="00634F47"/>
    <w:rsid w:val="006473E1"/>
    <w:rsid w:val="00647A48"/>
    <w:rsid w:val="00656F79"/>
    <w:rsid w:val="006650FA"/>
    <w:rsid w:val="00682530"/>
    <w:rsid w:val="00684E90"/>
    <w:rsid w:val="00697DC5"/>
    <w:rsid w:val="006A187F"/>
    <w:rsid w:val="006C0404"/>
    <w:rsid w:val="006C7E44"/>
    <w:rsid w:val="006D49D9"/>
    <w:rsid w:val="006E0ECC"/>
    <w:rsid w:val="006E3770"/>
    <w:rsid w:val="006E7183"/>
    <w:rsid w:val="006F08FB"/>
    <w:rsid w:val="006F0BE9"/>
    <w:rsid w:val="006F7D1E"/>
    <w:rsid w:val="00713646"/>
    <w:rsid w:val="0072012E"/>
    <w:rsid w:val="007230E2"/>
    <w:rsid w:val="0072617C"/>
    <w:rsid w:val="00730891"/>
    <w:rsid w:val="007443B7"/>
    <w:rsid w:val="007471E4"/>
    <w:rsid w:val="00754074"/>
    <w:rsid w:val="007541F5"/>
    <w:rsid w:val="00762653"/>
    <w:rsid w:val="00765509"/>
    <w:rsid w:val="00783E06"/>
    <w:rsid w:val="00786F53"/>
    <w:rsid w:val="007928F6"/>
    <w:rsid w:val="00793FA9"/>
    <w:rsid w:val="0079534B"/>
    <w:rsid w:val="007A027A"/>
    <w:rsid w:val="007A1016"/>
    <w:rsid w:val="007A3B59"/>
    <w:rsid w:val="007A79F1"/>
    <w:rsid w:val="007C3B22"/>
    <w:rsid w:val="007D78DB"/>
    <w:rsid w:val="007F2CA5"/>
    <w:rsid w:val="007F482E"/>
    <w:rsid w:val="007F5F73"/>
    <w:rsid w:val="00805507"/>
    <w:rsid w:val="008114A6"/>
    <w:rsid w:val="0081245F"/>
    <w:rsid w:val="00813646"/>
    <w:rsid w:val="008142D2"/>
    <w:rsid w:val="008165A9"/>
    <w:rsid w:val="00820D6B"/>
    <w:rsid w:val="0082111C"/>
    <w:rsid w:val="008238B1"/>
    <w:rsid w:val="0083223F"/>
    <w:rsid w:val="00832DA9"/>
    <w:rsid w:val="0084372E"/>
    <w:rsid w:val="00843DC7"/>
    <w:rsid w:val="00844A45"/>
    <w:rsid w:val="00845586"/>
    <w:rsid w:val="0085349A"/>
    <w:rsid w:val="008538B5"/>
    <w:rsid w:val="0085395E"/>
    <w:rsid w:val="00860C6A"/>
    <w:rsid w:val="0086131B"/>
    <w:rsid w:val="00865064"/>
    <w:rsid w:val="00865F90"/>
    <w:rsid w:val="008678BA"/>
    <w:rsid w:val="00867F7F"/>
    <w:rsid w:val="008743A1"/>
    <w:rsid w:val="0087619B"/>
    <w:rsid w:val="00876502"/>
    <w:rsid w:val="00880095"/>
    <w:rsid w:val="0088269F"/>
    <w:rsid w:val="00884712"/>
    <w:rsid w:val="0089659A"/>
    <w:rsid w:val="008A47B5"/>
    <w:rsid w:val="008A7B9F"/>
    <w:rsid w:val="008A7EA5"/>
    <w:rsid w:val="008B056E"/>
    <w:rsid w:val="008B1D2F"/>
    <w:rsid w:val="008B27BC"/>
    <w:rsid w:val="008D0129"/>
    <w:rsid w:val="008D1A54"/>
    <w:rsid w:val="008D57EA"/>
    <w:rsid w:val="008E28C5"/>
    <w:rsid w:val="008E3D4B"/>
    <w:rsid w:val="008F1947"/>
    <w:rsid w:val="008F2EAA"/>
    <w:rsid w:val="008F3FB3"/>
    <w:rsid w:val="00900A37"/>
    <w:rsid w:val="00905B82"/>
    <w:rsid w:val="00906A6F"/>
    <w:rsid w:val="00913B78"/>
    <w:rsid w:val="00916379"/>
    <w:rsid w:val="00926315"/>
    <w:rsid w:val="0092682E"/>
    <w:rsid w:val="00927452"/>
    <w:rsid w:val="00930832"/>
    <w:rsid w:val="00944166"/>
    <w:rsid w:val="00954E7F"/>
    <w:rsid w:val="00957689"/>
    <w:rsid w:val="00960159"/>
    <w:rsid w:val="009662B7"/>
    <w:rsid w:val="00972CA1"/>
    <w:rsid w:val="009730E6"/>
    <w:rsid w:val="00974A8E"/>
    <w:rsid w:val="009B4E3C"/>
    <w:rsid w:val="009B6E7D"/>
    <w:rsid w:val="009C79E1"/>
    <w:rsid w:val="009D5312"/>
    <w:rsid w:val="009E3F05"/>
    <w:rsid w:val="00A07BCA"/>
    <w:rsid w:val="00A16E2C"/>
    <w:rsid w:val="00A17011"/>
    <w:rsid w:val="00A1757B"/>
    <w:rsid w:val="00A20227"/>
    <w:rsid w:val="00A238C5"/>
    <w:rsid w:val="00A23BEC"/>
    <w:rsid w:val="00A32490"/>
    <w:rsid w:val="00A42F3B"/>
    <w:rsid w:val="00A4429B"/>
    <w:rsid w:val="00A547AA"/>
    <w:rsid w:val="00A65B27"/>
    <w:rsid w:val="00A72088"/>
    <w:rsid w:val="00A722BF"/>
    <w:rsid w:val="00A72CC1"/>
    <w:rsid w:val="00A738E5"/>
    <w:rsid w:val="00A76F2B"/>
    <w:rsid w:val="00A83EA2"/>
    <w:rsid w:val="00A84768"/>
    <w:rsid w:val="00A94664"/>
    <w:rsid w:val="00A94D90"/>
    <w:rsid w:val="00AA0335"/>
    <w:rsid w:val="00AA3FE5"/>
    <w:rsid w:val="00AA7547"/>
    <w:rsid w:val="00AA7719"/>
    <w:rsid w:val="00AB1518"/>
    <w:rsid w:val="00AC23FA"/>
    <w:rsid w:val="00AC35AC"/>
    <w:rsid w:val="00AC579D"/>
    <w:rsid w:val="00AE009A"/>
    <w:rsid w:val="00AE0646"/>
    <w:rsid w:val="00AE3FA8"/>
    <w:rsid w:val="00AE64F7"/>
    <w:rsid w:val="00AF285C"/>
    <w:rsid w:val="00B00F84"/>
    <w:rsid w:val="00B12FB2"/>
    <w:rsid w:val="00B242A3"/>
    <w:rsid w:val="00B3044F"/>
    <w:rsid w:val="00B33E84"/>
    <w:rsid w:val="00B5126C"/>
    <w:rsid w:val="00B55CE0"/>
    <w:rsid w:val="00B614EE"/>
    <w:rsid w:val="00B669E4"/>
    <w:rsid w:val="00B800E8"/>
    <w:rsid w:val="00B84A1C"/>
    <w:rsid w:val="00B9202D"/>
    <w:rsid w:val="00B97726"/>
    <w:rsid w:val="00B9E73F"/>
    <w:rsid w:val="00BA0A40"/>
    <w:rsid w:val="00BA1876"/>
    <w:rsid w:val="00BB07F2"/>
    <w:rsid w:val="00BB3678"/>
    <w:rsid w:val="00BD10FE"/>
    <w:rsid w:val="00BD12BE"/>
    <w:rsid w:val="00BD460A"/>
    <w:rsid w:val="00BE422F"/>
    <w:rsid w:val="00BF36F5"/>
    <w:rsid w:val="00BF567C"/>
    <w:rsid w:val="00BF5D8E"/>
    <w:rsid w:val="00C030BA"/>
    <w:rsid w:val="00C07705"/>
    <w:rsid w:val="00C079CC"/>
    <w:rsid w:val="00C108A2"/>
    <w:rsid w:val="00C11085"/>
    <w:rsid w:val="00C21E20"/>
    <w:rsid w:val="00C22FDF"/>
    <w:rsid w:val="00C24D10"/>
    <w:rsid w:val="00C3029E"/>
    <w:rsid w:val="00C3213F"/>
    <w:rsid w:val="00C33F39"/>
    <w:rsid w:val="00C359B6"/>
    <w:rsid w:val="00C42B99"/>
    <w:rsid w:val="00C4564E"/>
    <w:rsid w:val="00C510DC"/>
    <w:rsid w:val="00C55EBA"/>
    <w:rsid w:val="00C56078"/>
    <w:rsid w:val="00C56536"/>
    <w:rsid w:val="00C56EEA"/>
    <w:rsid w:val="00C57936"/>
    <w:rsid w:val="00C6144D"/>
    <w:rsid w:val="00C65A4C"/>
    <w:rsid w:val="00C754B1"/>
    <w:rsid w:val="00C822C3"/>
    <w:rsid w:val="00C83098"/>
    <w:rsid w:val="00C87703"/>
    <w:rsid w:val="00C87D32"/>
    <w:rsid w:val="00C9312A"/>
    <w:rsid w:val="00C95A3A"/>
    <w:rsid w:val="00C95EED"/>
    <w:rsid w:val="00C96490"/>
    <w:rsid w:val="00CA274D"/>
    <w:rsid w:val="00CA3398"/>
    <w:rsid w:val="00CC4CCE"/>
    <w:rsid w:val="00CC62D6"/>
    <w:rsid w:val="00CD109A"/>
    <w:rsid w:val="00CE6F9F"/>
    <w:rsid w:val="00CF04D3"/>
    <w:rsid w:val="00CF447E"/>
    <w:rsid w:val="00D01465"/>
    <w:rsid w:val="00D02CE1"/>
    <w:rsid w:val="00D03227"/>
    <w:rsid w:val="00D03EB3"/>
    <w:rsid w:val="00D03F2A"/>
    <w:rsid w:val="00D06595"/>
    <w:rsid w:val="00D068B3"/>
    <w:rsid w:val="00D06DC2"/>
    <w:rsid w:val="00D07BE2"/>
    <w:rsid w:val="00D1197A"/>
    <w:rsid w:val="00D227F8"/>
    <w:rsid w:val="00D26094"/>
    <w:rsid w:val="00D3505E"/>
    <w:rsid w:val="00D44467"/>
    <w:rsid w:val="00D66CDF"/>
    <w:rsid w:val="00D66DCD"/>
    <w:rsid w:val="00D70627"/>
    <w:rsid w:val="00D713F5"/>
    <w:rsid w:val="00DA37A5"/>
    <w:rsid w:val="00DA5A0C"/>
    <w:rsid w:val="00DB501E"/>
    <w:rsid w:val="00DC3AAA"/>
    <w:rsid w:val="00DC6AD3"/>
    <w:rsid w:val="00E02EB8"/>
    <w:rsid w:val="00E0325B"/>
    <w:rsid w:val="00E038D4"/>
    <w:rsid w:val="00E0691C"/>
    <w:rsid w:val="00E16A27"/>
    <w:rsid w:val="00E16A70"/>
    <w:rsid w:val="00E320E4"/>
    <w:rsid w:val="00E33D97"/>
    <w:rsid w:val="00E429A5"/>
    <w:rsid w:val="00E45C11"/>
    <w:rsid w:val="00E52393"/>
    <w:rsid w:val="00E5475E"/>
    <w:rsid w:val="00E656B5"/>
    <w:rsid w:val="00E66C19"/>
    <w:rsid w:val="00E74C37"/>
    <w:rsid w:val="00E8208D"/>
    <w:rsid w:val="00E834A8"/>
    <w:rsid w:val="00E84361"/>
    <w:rsid w:val="00E86F7B"/>
    <w:rsid w:val="00E9343E"/>
    <w:rsid w:val="00E964CF"/>
    <w:rsid w:val="00EA5C1A"/>
    <w:rsid w:val="00ED6C6F"/>
    <w:rsid w:val="00EE0FB1"/>
    <w:rsid w:val="00EE1D19"/>
    <w:rsid w:val="00EE264D"/>
    <w:rsid w:val="00F001B1"/>
    <w:rsid w:val="00F17AF3"/>
    <w:rsid w:val="00F30A05"/>
    <w:rsid w:val="00F365D8"/>
    <w:rsid w:val="00F37C7B"/>
    <w:rsid w:val="00F41234"/>
    <w:rsid w:val="00F41DA9"/>
    <w:rsid w:val="00F50C89"/>
    <w:rsid w:val="00F51F1E"/>
    <w:rsid w:val="00F55C61"/>
    <w:rsid w:val="00F60337"/>
    <w:rsid w:val="00F613D9"/>
    <w:rsid w:val="00F636F5"/>
    <w:rsid w:val="00F674C9"/>
    <w:rsid w:val="00F70672"/>
    <w:rsid w:val="00F75AAB"/>
    <w:rsid w:val="00F94DCB"/>
    <w:rsid w:val="00FB2629"/>
    <w:rsid w:val="00FB7194"/>
    <w:rsid w:val="00FC0EF3"/>
    <w:rsid w:val="00FC58B0"/>
    <w:rsid w:val="00FD5E73"/>
    <w:rsid w:val="00FD680A"/>
    <w:rsid w:val="00FD7E3A"/>
    <w:rsid w:val="00FE43CD"/>
    <w:rsid w:val="00FE58D8"/>
    <w:rsid w:val="00FF1410"/>
    <w:rsid w:val="00FF79C4"/>
    <w:rsid w:val="01B229C2"/>
    <w:rsid w:val="0230396F"/>
    <w:rsid w:val="0360DA2A"/>
    <w:rsid w:val="0494B907"/>
    <w:rsid w:val="06E76237"/>
    <w:rsid w:val="07C50943"/>
    <w:rsid w:val="0838817A"/>
    <w:rsid w:val="0AC463AF"/>
    <w:rsid w:val="0D286EFE"/>
    <w:rsid w:val="0F5EE16F"/>
    <w:rsid w:val="0F6994EF"/>
    <w:rsid w:val="0FA17004"/>
    <w:rsid w:val="0FFC93B0"/>
    <w:rsid w:val="13FE2274"/>
    <w:rsid w:val="15A9806E"/>
    <w:rsid w:val="19A6A7BC"/>
    <w:rsid w:val="1B159FDC"/>
    <w:rsid w:val="1C5289A0"/>
    <w:rsid w:val="1D4C4A7C"/>
    <w:rsid w:val="1DA87DE5"/>
    <w:rsid w:val="1F07E884"/>
    <w:rsid w:val="2011888A"/>
    <w:rsid w:val="206830A8"/>
    <w:rsid w:val="21056823"/>
    <w:rsid w:val="2351248A"/>
    <w:rsid w:val="23BE0107"/>
    <w:rsid w:val="262E3C45"/>
    <w:rsid w:val="2912A086"/>
    <w:rsid w:val="2971D3D5"/>
    <w:rsid w:val="29808F0B"/>
    <w:rsid w:val="298155B4"/>
    <w:rsid w:val="29887AF6"/>
    <w:rsid w:val="2A296F37"/>
    <w:rsid w:val="2A373BC0"/>
    <w:rsid w:val="2E1C6A36"/>
    <w:rsid w:val="2F35EF37"/>
    <w:rsid w:val="2F6DB239"/>
    <w:rsid w:val="3033B462"/>
    <w:rsid w:val="306D5B7E"/>
    <w:rsid w:val="30ACB38C"/>
    <w:rsid w:val="30C43D41"/>
    <w:rsid w:val="30F4C689"/>
    <w:rsid w:val="30FAEEEC"/>
    <w:rsid w:val="33A775CB"/>
    <w:rsid w:val="33C3BEBB"/>
    <w:rsid w:val="34D6EE14"/>
    <w:rsid w:val="36E4829D"/>
    <w:rsid w:val="37EBD652"/>
    <w:rsid w:val="38D0CA38"/>
    <w:rsid w:val="39827051"/>
    <w:rsid w:val="39FE9029"/>
    <w:rsid w:val="3B2663C3"/>
    <w:rsid w:val="3BC25CDF"/>
    <w:rsid w:val="3C042F2A"/>
    <w:rsid w:val="3EC70DB7"/>
    <w:rsid w:val="3F98B70D"/>
    <w:rsid w:val="410F5CD5"/>
    <w:rsid w:val="418A0155"/>
    <w:rsid w:val="427B7807"/>
    <w:rsid w:val="428273C0"/>
    <w:rsid w:val="42C9FEDB"/>
    <w:rsid w:val="440F085C"/>
    <w:rsid w:val="4607A167"/>
    <w:rsid w:val="46D45EBB"/>
    <w:rsid w:val="46FC8C98"/>
    <w:rsid w:val="47017D89"/>
    <w:rsid w:val="47486ACA"/>
    <w:rsid w:val="4AD063C7"/>
    <w:rsid w:val="4B5B4B19"/>
    <w:rsid w:val="4C1D0E9E"/>
    <w:rsid w:val="4D21754C"/>
    <w:rsid w:val="50E385D1"/>
    <w:rsid w:val="5201D606"/>
    <w:rsid w:val="53483A87"/>
    <w:rsid w:val="5351D9FD"/>
    <w:rsid w:val="544897B5"/>
    <w:rsid w:val="555EEAEA"/>
    <w:rsid w:val="5612B20B"/>
    <w:rsid w:val="575AAE8C"/>
    <w:rsid w:val="57DB7DF4"/>
    <w:rsid w:val="597B0F9A"/>
    <w:rsid w:val="5A50103C"/>
    <w:rsid w:val="5AD4731F"/>
    <w:rsid w:val="5DDD4D44"/>
    <w:rsid w:val="5F95365E"/>
    <w:rsid w:val="5FA30BCD"/>
    <w:rsid w:val="5FF8EB2C"/>
    <w:rsid w:val="60899903"/>
    <w:rsid w:val="60C7BFB9"/>
    <w:rsid w:val="615B96DF"/>
    <w:rsid w:val="63C21507"/>
    <w:rsid w:val="640E6B06"/>
    <w:rsid w:val="65752C77"/>
    <w:rsid w:val="65A07E9E"/>
    <w:rsid w:val="66426E16"/>
    <w:rsid w:val="66A07E3B"/>
    <w:rsid w:val="66FA692C"/>
    <w:rsid w:val="686EBEDF"/>
    <w:rsid w:val="68C3A6CA"/>
    <w:rsid w:val="68DCA32A"/>
    <w:rsid w:val="69678AC9"/>
    <w:rsid w:val="6ABB4FA4"/>
    <w:rsid w:val="6B17CF2E"/>
    <w:rsid w:val="6B22868C"/>
    <w:rsid w:val="6B2E701E"/>
    <w:rsid w:val="6B8C1C76"/>
    <w:rsid w:val="6D54D06D"/>
    <w:rsid w:val="6DDFD6E4"/>
    <w:rsid w:val="6E1DE0B5"/>
    <w:rsid w:val="6F18DBD7"/>
    <w:rsid w:val="6F33DBC1"/>
    <w:rsid w:val="70FB544E"/>
    <w:rsid w:val="72E7F636"/>
    <w:rsid w:val="7434938E"/>
    <w:rsid w:val="7501B11E"/>
    <w:rsid w:val="776AFBA5"/>
    <w:rsid w:val="78BFFD55"/>
    <w:rsid w:val="79ABD48A"/>
    <w:rsid w:val="7B2B654D"/>
    <w:rsid w:val="7B343521"/>
    <w:rsid w:val="7C1E1817"/>
    <w:rsid w:val="7C8E3FA5"/>
    <w:rsid w:val="7CA5EC55"/>
    <w:rsid w:val="7CE5D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9C5E"/>
  <w15:chartTrackingRefBased/>
  <w15:docId w15:val="{819F34AA-B0EE-4C87-AF18-5A829C4B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F001B1"/>
    <w:pPr>
      <w:keepNext/>
      <w:keepLines/>
      <w:numPr>
        <w:numId w:val="1"/>
      </w:numPr>
      <w:spacing w:before="480" w:after="240" w:line="240" w:lineRule="auto"/>
      <w:ind w:left="357" w:hanging="357"/>
      <w:jc w:val="both"/>
      <w:outlineLvl w:val="0"/>
    </w:pPr>
    <w:rPr>
      <w:rFonts w:ascii="Arial" w:eastAsiaTheme="majorEastAsia" w:hAnsi="Arial" w:cstheme="majorBidi"/>
      <w:b/>
      <w:sz w:val="24"/>
      <w:szCs w:val="32"/>
    </w:rPr>
  </w:style>
  <w:style w:type="paragraph" w:styleId="Titre2">
    <w:name w:val="heading 2"/>
    <w:basedOn w:val="Normal"/>
    <w:next w:val="Normal"/>
    <w:link w:val="Titre2Car"/>
    <w:uiPriority w:val="9"/>
    <w:unhideWhenUsed/>
    <w:qFormat/>
    <w:rsid w:val="00081DD4"/>
    <w:pPr>
      <w:keepNext/>
      <w:keepLines/>
      <w:spacing w:before="120" w:after="120" w:line="240" w:lineRule="auto"/>
      <w:ind w:left="720"/>
      <w:jc w:val="center"/>
      <w:outlineLvl w:val="1"/>
    </w:pPr>
    <w:rPr>
      <w:rFonts w:ascii="Arial" w:eastAsiaTheme="majorEastAsia" w:hAnsi="Arial" w:cstheme="majorBidi"/>
      <w:b/>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01B1"/>
    <w:rPr>
      <w:rFonts w:ascii="Arial" w:eastAsiaTheme="majorEastAsia" w:hAnsi="Arial" w:cstheme="majorBidi"/>
      <w:b/>
      <w:sz w:val="24"/>
      <w:szCs w:val="32"/>
    </w:rPr>
  </w:style>
  <w:style w:type="table" w:styleId="Grilledutableau">
    <w:name w:val="Table Grid"/>
    <w:basedOn w:val="TableauNormal"/>
    <w:uiPriority w:val="39"/>
    <w:rsid w:val="00631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743A1"/>
    <w:pPr>
      <w:tabs>
        <w:tab w:val="center" w:pos="4703"/>
        <w:tab w:val="right" w:pos="9406"/>
      </w:tabs>
      <w:spacing w:after="0" w:line="240" w:lineRule="auto"/>
    </w:pPr>
  </w:style>
  <w:style w:type="character" w:customStyle="1" w:styleId="En-tteCar">
    <w:name w:val="En-tête Car"/>
    <w:basedOn w:val="Policepardfaut"/>
    <w:link w:val="En-tte"/>
    <w:uiPriority w:val="99"/>
    <w:rsid w:val="008743A1"/>
  </w:style>
  <w:style w:type="paragraph" w:styleId="Pieddepage">
    <w:name w:val="footer"/>
    <w:basedOn w:val="Normal"/>
    <w:link w:val="PieddepageCar"/>
    <w:uiPriority w:val="99"/>
    <w:unhideWhenUsed/>
    <w:rsid w:val="008743A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43A1"/>
  </w:style>
  <w:style w:type="character" w:customStyle="1" w:styleId="Titre2Car">
    <w:name w:val="Titre 2 Car"/>
    <w:basedOn w:val="Policepardfaut"/>
    <w:link w:val="Titre2"/>
    <w:uiPriority w:val="9"/>
    <w:rsid w:val="00081DD4"/>
    <w:rPr>
      <w:rFonts w:ascii="Arial" w:eastAsiaTheme="majorEastAsia" w:hAnsi="Arial" w:cstheme="majorBidi"/>
      <w:b/>
      <w:szCs w:val="26"/>
    </w:rPr>
  </w:style>
  <w:style w:type="paragraph" w:styleId="Paragraphedeliste">
    <w:name w:val="List Paragraph"/>
    <w:basedOn w:val="Normal"/>
    <w:uiPriority w:val="34"/>
    <w:qFormat/>
    <w:rsid w:val="00B3044F"/>
    <w:pPr>
      <w:ind w:left="720"/>
      <w:contextualSpacing/>
    </w:pPr>
  </w:style>
  <w:style w:type="paragraph" w:styleId="Notedebasdepage">
    <w:name w:val="footnote text"/>
    <w:basedOn w:val="Normal"/>
    <w:link w:val="NotedebasdepageCar"/>
    <w:uiPriority w:val="99"/>
    <w:semiHidden/>
    <w:unhideWhenUsed/>
    <w:rsid w:val="0002210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2210B"/>
    <w:rPr>
      <w:sz w:val="20"/>
      <w:szCs w:val="20"/>
    </w:rPr>
  </w:style>
  <w:style w:type="character" w:styleId="Appelnotedebasdep">
    <w:name w:val="footnote reference"/>
    <w:basedOn w:val="Policepardfaut"/>
    <w:uiPriority w:val="99"/>
    <w:semiHidden/>
    <w:unhideWhenUsed/>
    <w:rsid w:val="0002210B"/>
    <w:rPr>
      <w:vertAlign w:val="superscript"/>
    </w:rPr>
  </w:style>
  <w:style w:type="character" w:styleId="Lienhypertexte">
    <w:name w:val="Hyperlink"/>
    <w:basedOn w:val="Policepardfaut"/>
    <w:uiPriority w:val="99"/>
    <w:unhideWhenUsed/>
    <w:rsid w:val="00293499"/>
    <w:rPr>
      <w:color w:val="0563C1" w:themeColor="hyperlink"/>
      <w:u w:val="single"/>
    </w:rPr>
  </w:style>
  <w:style w:type="character" w:styleId="Mentionnonrsolue">
    <w:name w:val="Unresolved Mention"/>
    <w:basedOn w:val="Policepardfaut"/>
    <w:uiPriority w:val="99"/>
    <w:semiHidden/>
    <w:unhideWhenUsed/>
    <w:rsid w:val="00293499"/>
    <w:rPr>
      <w:color w:val="605E5C"/>
      <w:shd w:val="clear" w:color="auto" w:fill="E1DFDD"/>
    </w:rPr>
  </w:style>
  <w:style w:type="paragraph" w:styleId="Textedebulles">
    <w:name w:val="Balloon Text"/>
    <w:basedOn w:val="Normal"/>
    <w:link w:val="TextedebullesCar"/>
    <w:uiPriority w:val="99"/>
    <w:semiHidden/>
    <w:unhideWhenUsed/>
    <w:rsid w:val="00224F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4F6A"/>
    <w:rPr>
      <w:rFonts w:ascii="Segoe UI" w:hAnsi="Segoe UI" w:cs="Segoe UI"/>
      <w:sz w:val="18"/>
      <w:szCs w:val="18"/>
    </w:rPr>
  </w:style>
  <w:style w:type="paragraph" w:styleId="TM1">
    <w:name w:val="toc 1"/>
    <w:basedOn w:val="Normal"/>
    <w:next w:val="Normal"/>
    <w:autoRedefine/>
    <w:uiPriority w:val="39"/>
    <w:unhideWhenUsed/>
    <w:rsid w:val="00FB2629"/>
    <w:pPr>
      <w:spacing w:after="100"/>
    </w:pPr>
  </w:style>
  <w:style w:type="paragraph" w:styleId="TM2">
    <w:name w:val="toc 2"/>
    <w:basedOn w:val="Normal"/>
    <w:next w:val="Normal"/>
    <w:autoRedefine/>
    <w:uiPriority w:val="39"/>
    <w:unhideWhenUsed/>
    <w:rsid w:val="00FB2629"/>
    <w:pPr>
      <w:spacing w:after="100"/>
      <w:ind w:left="220"/>
    </w:pPr>
  </w:style>
  <w:style w:type="paragraph" w:styleId="Rvision">
    <w:name w:val="Revision"/>
    <w:hidden/>
    <w:uiPriority w:val="99"/>
    <w:semiHidden/>
    <w:rsid w:val="007230E2"/>
    <w:pPr>
      <w:spacing w:after="0" w:line="240" w:lineRule="auto"/>
    </w:pPr>
  </w:style>
  <w:style w:type="character" w:styleId="Textedelespacerserv">
    <w:name w:val="Placeholder Text"/>
    <w:basedOn w:val="Policepardfaut"/>
    <w:uiPriority w:val="99"/>
    <w:semiHidden/>
    <w:rsid w:val="00D06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Mars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2F637CBBA1F44C945D70D347ED3D3F" ma:contentTypeVersion="32" ma:contentTypeDescription="Crée un document." ma:contentTypeScope="" ma:versionID="604b00fc9b6acf2f4a62e0764dee59df">
  <xsd:schema xmlns:xsd="http://www.w3.org/2001/XMLSchema" xmlns:xs="http://www.w3.org/2001/XMLSchema" xmlns:p="http://schemas.microsoft.com/office/2006/metadata/properties" xmlns:ns3="23452c4f-eda2-4116-9a43-7f33b0db5443" xmlns:ns4="7fbed66f-a985-45c5-b4e5-e7385fb59853" targetNamespace="http://schemas.microsoft.com/office/2006/metadata/properties" ma:root="true" ma:fieldsID="77cdddb30c2a6504cfbdec2b1cb92b04" ns3:_="" ns4:_="">
    <xsd:import namespace="23452c4f-eda2-4116-9a43-7f33b0db5443"/>
    <xsd:import namespace="7fbed66f-a985-45c5-b4e5-e7385fb59853"/>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TeamsChannelId" minOccurs="0"/>
                <xsd:element ref="ns3:Math_Settings" minOccurs="0"/>
                <xsd:element ref="ns3:Distribution_Groups" minOccurs="0"/>
                <xsd:element ref="ns3:LMS_Mappings"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52c4f-eda2-4116-9a43-7f33b0db544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TeamsChannelId" ma:index="35" nillable="true" ma:displayName="Teams Channel Id" ma:internalName="TeamsChannelId">
      <xsd:simpleType>
        <xsd:restriction base="dms:Text"/>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fbed66f-a985-45c5-b4e5-e7385fb59853" elementFormDefault="qualified">
    <xsd:import namespace="http://schemas.microsoft.com/office/2006/documentManagement/types"/>
    <xsd:import namespace="http://schemas.microsoft.com/office/infopath/2007/PartnerControls"/>
    <xsd:element name="SharedWithUsers" ma:index="2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Partagé avec détails" ma:internalName="SharedWithDetails" ma:readOnly="true">
      <xsd:simpleType>
        <xsd:restriction base="dms:Note">
          <xsd:maxLength value="255"/>
        </xsd:restriction>
      </xsd:simpleType>
    </xsd:element>
    <xsd:element name="SharingHintHash" ma:index="2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23452c4f-eda2-4116-9a43-7f33b0db5443" xsi:nil="true"/>
    <LMS_Mappings xmlns="23452c4f-eda2-4116-9a43-7f33b0db5443" xsi:nil="true"/>
    <NotebookType xmlns="23452c4f-eda2-4116-9a43-7f33b0db5443" xsi:nil="true"/>
    <Student_Groups xmlns="23452c4f-eda2-4116-9a43-7f33b0db5443">
      <UserInfo>
        <DisplayName/>
        <AccountId xsi:nil="true"/>
        <AccountType/>
      </UserInfo>
    </Student_Groups>
    <DefaultSectionNames xmlns="23452c4f-eda2-4116-9a43-7f33b0db5443" xsi:nil="true"/>
    <Owner xmlns="23452c4f-eda2-4116-9a43-7f33b0db5443">
      <UserInfo>
        <DisplayName/>
        <AccountId xsi:nil="true"/>
        <AccountType/>
      </UserInfo>
    </Owner>
    <Students xmlns="23452c4f-eda2-4116-9a43-7f33b0db5443">
      <UserInfo>
        <DisplayName/>
        <AccountId xsi:nil="true"/>
        <AccountType/>
      </UserInfo>
    </Students>
    <Math_Settings xmlns="23452c4f-eda2-4116-9a43-7f33b0db5443" xsi:nil="true"/>
    <Is_Collaboration_Space_Locked xmlns="23452c4f-eda2-4116-9a43-7f33b0db5443" xsi:nil="true"/>
    <Invited_Teachers xmlns="23452c4f-eda2-4116-9a43-7f33b0db5443" xsi:nil="true"/>
    <Invited_Students xmlns="23452c4f-eda2-4116-9a43-7f33b0db5443" xsi:nil="true"/>
    <IsNotebookLocked xmlns="23452c4f-eda2-4116-9a43-7f33b0db5443" xsi:nil="true"/>
    <FolderType xmlns="23452c4f-eda2-4116-9a43-7f33b0db5443" xsi:nil="true"/>
    <Templates xmlns="23452c4f-eda2-4116-9a43-7f33b0db5443" xsi:nil="true"/>
    <Has_Teacher_Only_SectionGroup xmlns="23452c4f-eda2-4116-9a43-7f33b0db5443" xsi:nil="true"/>
    <TeamsChannelId xmlns="23452c4f-eda2-4116-9a43-7f33b0db5443" xsi:nil="true"/>
    <Teachers xmlns="23452c4f-eda2-4116-9a43-7f33b0db5443">
      <UserInfo>
        <DisplayName/>
        <AccountId xsi:nil="true"/>
        <AccountType/>
      </UserInfo>
    </Teachers>
    <CultureName xmlns="23452c4f-eda2-4116-9a43-7f33b0db5443" xsi:nil="true"/>
    <Distribution_Groups xmlns="23452c4f-eda2-4116-9a43-7f33b0db5443" xsi:nil="true"/>
    <Self_Registration_Enabled xmlns="23452c4f-eda2-4116-9a43-7f33b0db544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5D344-C766-4731-A777-08EB43DB8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452c4f-eda2-4116-9a43-7f33b0db5443"/>
    <ds:schemaRef ds:uri="7fbed66f-a985-45c5-b4e5-e7385fb598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BD8B15-381D-45FB-A375-21DD86984B02}">
  <ds:schemaRefs>
    <ds:schemaRef ds:uri="http://schemas.microsoft.com/office/2006/metadata/properties"/>
    <ds:schemaRef ds:uri="http://schemas.microsoft.com/office/infopath/2007/PartnerControls"/>
    <ds:schemaRef ds:uri="23452c4f-eda2-4116-9a43-7f33b0db5443"/>
  </ds:schemaRefs>
</ds:datastoreItem>
</file>

<file path=customXml/itemProps4.xml><?xml version="1.0" encoding="utf-8"?>
<ds:datastoreItem xmlns:ds="http://schemas.openxmlformats.org/officeDocument/2006/customXml" ds:itemID="{C781B071-69CA-48D9-ACD5-795DD67A2DF3}">
  <ds:schemaRefs>
    <ds:schemaRef ds:uri="http://schemas.openxmlformats.org/officeDocument/2006/bibliography"/>
  </ds:schemaRefs>
</ds:datastoreItem>
</file>

<file path=customXml/itemProps5.xml><?xml version="1.0" encoding="utf-8"?>
<ds:datastoreItem xmlns:ds="http://schemas.openxmlformats.org/officeDocument/2006/customXml" ds:itemID="{123DE32F-95E3-407B-B433-6007D72CB0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3</Pages>
  <Words>959</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Protocole d’Étude : Pratiques des incubateurs dans l’espace UEMOA</vt:lpstr>
    </vt:vector>
  </TitlesOfParts>
  <Company/>
  <LinksUpToDate>false</LinksUpToDate>
  <CharactersWithSpaces>6227</CharactersWithSpaces>
  <SharedDoc>false</SharedDoc>
  <HLinks>
    <vt:vector size="144" baseType="variant">
      <vt:variant>
        <vt:i4>327746</vt:i4>
      </vt:variant>
      <vt:variant>
        <vt:i4>117</vt:i4>
      </vt:variant>
      <vt:variant>
        <vt:i4>0</vt:i4>
      </vt:variant>
      <vt:variant>
        <vt:i4>5</vt:i4>
      </vt:variant>
      <vt:variant>
        <vt:lpwstr>https://dx.doi.org/10.3390/su9071159</vt:lpwstr>
      </vt:variant>
      <vt:variant>
        <vt:lpwstr/>
      </vt:variant>
      <vt:variant>
        <vt:i4>1638480</vt:i4>
      </vt:variant>
      <vt:variant>
        <vt:i4>114</vt:i4>
      </vt:variant>
      <vt:variant>
        <vt:i4>0</vt:i4>
      </vt:variant>
      <vt:variant>
        <vt:i4>5</vt:i4>
      </vt:variant>
      <vt:variant>
        <vt:lpwstr>https://doi.org/10.1108/03090591011023961</vt:lpwstr>
      </vt:variant>
      <vt:variant>
        <vt:lpwstr/>
      </vt:variant>
      <vt:variant>
        <vt:i4>5046301</vt:i4>
      </vt:variant>
      <vt:variant>
        <vt:i4>111</vt:i4>
      </vt:variant>
      <vt:variant>
        <vt:i4>0</vt:i4>
      </vt:variant>
      <vt:variant>
        <vt:i4>5</vt:i4>
      </vt:variant>
      <vt:variant>
        <vt:lpwstr>https://dx.doi.org/10.1007/s00168-014-0653-x</vt:lpwstr>
      </vt:variant>
      <vt:variant>
        <vt:lpwstr/>
      </vt:variant>
      <vt:variant>
        <vt:i4>5374064</vt:i4>
      </vt:variant>
      <vt:variant>
        <vt:i4>108</vt:i4>
      </vt:variant>
      <vt:variant>
        <vt:i4>0</vt:i4>
      </vt:variant>
      <vt:variant>
        <vt:i4>5</vt:i4>
      </vt:variant>
      <vt:variant>
        <vt:lpwstr>mailto:balibie.bayala@cesag.edu.sn</vt:lpwstr>
      </vt:variant>
      <vt:variant>
        <vt:lpwstr/>
      </vt:variant>
      <vt:variant>
        <vt:i4>20</vt:i4>
      </vt:variant>
      <vt:variant>
        <vt:i4>105</vt:i4>
      </vt:variant>
      <vt:variant>
        <vt:i4>0</vt:i4>
      </vt:variant>
      <vt:variant>
        <vt:i4>5</vt:i4>
      </vt:variant>
      <vt:variant>
        <vt:lpwstr>http://www.cesag.sn/</vt:lpwstr>
      </vt:variant>
      <vt:variant>
        <vt:lpwstr/>
      </vt:variant>
      <vt:variant>
        <vt:i4>1638458</vt:i4>
      </vt:variant>
      <vt:variant>
        <vt:i4>98</vt:i4>
      </vt:variant>
      <vt:variant>
        <vt:i4>0</vt:i4>
      </vt:variant>
      <vt:variant>
        <vt:i4>5</vt:i4>
      </vt:variant>
      <vt:variant>
        <vt:lpwstr/>
      </vt:variant>
      <vt:variant>
        <vt:lpwstr>_Toc36398829</vt:lpwstr>
      </vt:variant>
      <vt:variant>
        <vt:i4>1572922</vt:i4>
      </vt:variant>
      <vt:variant>
        <vt:i4>92</vt:i4>
      </vt:variant>
      <vt:variant>
        <vt:i4>0</vt:i4>
      </vt:variant>
      <vt:variant>
        <vt:i4>5</vt:i4>
      </vt:variant>
      <vt:variant>
        <vt:lpwstr/>
      </vt:variant>
      <vt:variant>
        <vt:lpwstr>_Toc36398828</vt:lpwstr>
      </vt:variant>
      <vt:variant>
        <vt:i4>1507386</vt:i4>
      </vt:variant>
      <vt:variant>
        <vt:i4>86</vt:i4>
      </vt:variant>
      <vt:variant>
        <vt:i4>0</vt:i4>
      </vt:variant>
      <vt:variant>
        <vt:i4>5</vt:i4>
      </vt:variant>
      <vt:variant>
        <vt:lpwstr/>
      </vt:variant>
      <vt:variant>
        <vt:lpwstr>_Toc36398827</vt:lpwstr>
      </vt:variant>
      <vt:variant>
        <vt:i4>1441850</vt:i4>
      </vt:variant>
      <vt:variant>
        <vt:i4>80</vt:i4>
      </vt:variant>
      <vt:variant>
        <vt:i4>0</vt:i4>
      </vt:variant>
      <vt:variant>
        <vt:i4>5</vt:i4>
      </vt:variant>
      <vt:variant>
        <vt:lpwstr/>
      </vt:variant>
      <vt:variant>
        <vt:lpwstr>_Toc36398826</vt:lpwstr>
      </vt:variant>
      <vt:variant>
        <vt:i4>1376314</vt:i4>
      </vt:variant>
      <vt:variant>
        <vt:i4>74</vt:i4>
      </vt:variant>
      <vt:variant>
        <vt:i4>0</vt:i4>
      </vt:variant>
      <vt:variant>
        <vt:i4>5</vt:i4>
      </vt:variant>
      <vt:variant>
        <vt:lpwstr/>
      </vt:variant>
      <vt:variant>
        <vt:lpwstr>_Toc36398825</vt:lpwstr>
      </vt:variant>
      <vt:variant>
        <vt:i4>1310778</vt:i4>
      </vt:variant>
      <vt:variant>
        <vt:i4>68</vt:i4>
      </vt:variant>
      <vt:variant>
        <vt:i4>0</vt:i4>
      </vt:variant>
      <vt:variant>
        <vt:i4>5</vt:i4>
      </vt:variant>
      <vt:variant>
        <vt:lpwstr/>
      </vt:variant>
      <vt:variant>
        <vt:lpwstr>_Toc36398824</vt:lpwstr>
      </vt:variant>
      <vt:variant>
        <vt:i4>1245242</vt:i4>
      </vt:variant>
      <vt:variant>
        <vt:i4>62</vt:i4>
      </vt:variant>
      <vt:variant>
        <vt:i4>0</vt:i4>
      </vt:variant>
      <vt:variant>
        <vt:i4>5</vt:i4>
      </vt:variant>
      <vt:variant>
        <vt:lpwstr/>
      </vt:variant>
      <vt:variant>
        <vt:lpwstr>_Toc36398823</vt:lpwstr>
      </vt:variant>
      <vt:variant>
        <vt:i4>1179706</vt:i4>
      </vt:variant>
      <vt:variant>
        <vt:i4>56</vt:i4>
      </vt:variant>
      <vt:variant>
        <vt:i4>0</vt:i4>
      </vt:variant>
      <vt:variant>
        <vt:i4>5</vt:i4>
      </vt:variant>
      <vt:variant>
        <vt:lpwstr/>
      </vt:variant>
      <vt:variant>
        <vt:lpwstr>_Toc36398822</vt:lpwstr>
      </vt:variant>
      <vt:variant>
        <vt:i4>1114170</vt:i4>
      </vt:variant>
      <vt:variant>
        <vt:i4>50</vt:i4>
      </vt:variant>
      <vt:variant>
        <vt:i4>0</vt:i4>
      </vt:variant>
      <vt:variant>
        <vt:i4>5</vt:i4>
      </vt:variant>
      <vt:variant>
        <vt:lpwstr/>
      </vt:variant>
      <vt:variant>
        <vt:lpwstr>_Toc36398821</vt:lpwstr>
      </vt:variant>
      <vt:variant>
        <vt:i4>1048634</vt:i4>
      </vt:variant>
      <vt:variant>
        <vt:i4>44</vt:i4>
      </vt:variant>
      <vt:variant>
        <vt:i4>0</vt:i4>
      </vt:variant>
      <vt:variant>
        <vt:i4>5</vt:i4>
      </vt:variant>
      <vt:variant>
        <vt:lpwstr/>
      </vt:variant>
      <vt:variant>
        <vt:lpwstr>_Toc36398820</vt:lpwstr>
      </vt:variant>
      <vt:variant>
        <vt:i4>1638457</vt:i4>
      </vt:variant>
      <vt:variant>
        <vt:i4>38</vt:i4>
      </vt:variant>
      <vt:variant>
        <vt:i4>0</vt:i4>
      </vt:variant>
      <vt:variant>
        <vt:i4>5</vt:i4>
      </vt:variant>
      <vt:variant>
        <vt:lpwstr/>
      </vt:variant>
      <vt:variant>
        <vt:lpwstr>_Toc36398819</vt:lpwstr>
      </vt:variant>
      <vt:variant>
        <vt:i4>1572921</vt:i4>
      </vt:variant>
      <vt:variant>
        <vt:i4>32</vt:i4>
      </vt:variant>
      <vt:variant>
        <vt:i4>0</vt:i4>
      </vt:variant>
      <vt:variant>
        <vt:i4>5</vt:i4>
      </vt:variant>
      <vt:variant>
        <vt:lpwstr/>
      </vt:variant>
      <vt:variant>
        <vt:lpwstr>_Toc36398818</vt:lpwstr>
      </vt:variant>
      <vt:variant>
        <vt:i4>1507385</vt:i4>
      </vt:variant>
      <vt:variant>
        <vt:i4>26</vt:i4>
      </vt:variant>
      <vt:variant>
        <vt:i4>0</vt:i4>
      </vt:variant>
      <vt:variant>
        <vt:i4>5</vt:i4>
      </vt:variant>
      <vt:variant>
        <vt:lpwstr/>
      </vt:variant>
      <vt:variant>
        <vt:lpwstr>_Toc36398817</vt:lpwstr>
      </vt:variant>
      <vt:variant>
        <vt:i4>1441849</vt:i4>
      </vt:variant>
      <vt:variant>
        <vt:i4>20</vt:i4>
      </vt:variant>
      <vt:variant>
        <vt:i4>0</vt:i4>
      </vt:variant>
      <vt:variant>
        <vt:i4>5</vt:i4>
      </vt:variant>
      <vt:variant>
        <vt:lpwstr/>
      </vt:variant>
      <vt:variant>
        <vt:lpwstr>_Toc36398816</vt:lpwstr>
      </vt:variant>
      <vt:variant>
        <vt:i4>1376313</vt:i4>
      </vt:variant>
      <vt:variant>
        <vt:i4>14</vt:i4>
      </vt:variant>
      <vt:variant>
        <vt:i4>0</vt:i4>
      </vt:variant>
      <vt:variant>
        <vt:i4>5</vt:i4>
      </vt:variant>
      <vt:variant>
        <vt:lpwstr/>
      </vt:variant>
      <vt:variant>
        <vt:lpwstr>_Toc36398815</vt:lpwstr>
      </vt:variant>
      <vt:variant>
        <vt:i4>1310777</vt:i4>
      </vt:variant>
      <vt:variant>
        <vt:i4>8</vt:i4>
      </vt:variant>
      <vt:variant>
        <vt:i4>0</vt:i4>
      </vt:variant>
      <vt:variant>
        <vt:i4>5</vt:i4>
      </vt:variant>
      <vt:variant>
        <vt:lpwstr/>
      </vt:variant>
      <vt:variant>
        <vt:lpwstr>_Toc36398814</vt:lpwstr>
      </vt:variant>
      <vt:variant>
        <vt:i4>1245241</vt:i4>
      </vt:variant>
      <vt:variant>
        <vt:i4>2</vt:i4>
      </vt:variant>
      <vt:variant>
        <vt:i4>0</vt:i4>
      </vt:variant>
      <vt:variant>
        <vt:i4>5</vt:i4>
      </vt:variant>
      <vt:variant>
        <vt:lpwstr/>
      </vt:variant>
      <vt:variant>
        <vt:lpwstr>_Toc36398813</vt:lpwstr>
      </vt:variant>
      <vt:variant>
        <vt:i4>4522060</vt:i4>
      </vt:variant>
      <vt:variant>
        <vt:i4>3</vt:i4>
      </vt:variant>
      <vt:variant>
        <vt:i4>0</vt:i4>
      </vt:variant>
      <vt:variant>
        <vt:i4>5</vt:i4>
      </vt:variant>
      <vt:variant>
        <vt:lpwstr>http://documents.worldbank.org/curated/en/332881525873182837/The-Global-Findex-Database-2017-Measuring-Financial-Inclusion-and-the-Fintech-Revolution</vt:lpwstr>
      </vt:variant>
      <vt:variant>
        <vt:lpwstr/>
      </vt:variant>
      <vt:variant>
        <vt:i4>2687011</vt:i4>
      </vt:variant>
      <vt:variant>
        <vt:i4>0</vt:i4>
      </vt:variant>
      <vt:variant>
        <vt:i4>0</vt:i4>
      </vt:variant>
      <vt:variant>
        <vt:i4>5</vt:i4>
      </vt:variant>
      <vt:variant>
        <vt:lpwstr>https://openknowledge.worldbank.org/handle/10986/32436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Alassane OUATTARA, Ph.D en Finance et Comptabilité</dc:title>
  <dc:subject/>
  <dc:creator>Mahalia Kim Hoa</dc:creator>
  <cp:keywords/>
  <dc:description/>
  <cp:lastModifiedBy>Pr Alioune Badara MBENGUE</cp:lastModifiedBy>
  <cp:revision>439</cp:revision>
  <cp:lastPrinted>2020-04-19T09:28:00Z</cp:lastPrinted>
  <dcterms:created xsi:type="dcterms:W3CDTF">2020-03-29T01:14:00Z</dcterms:created>
  <dcterms:modified xsi:type="dcterms:W3CDTF">2022-11-15T17:24:00Z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0x010100F12F637CBBA1F44C945D70D347ED3D3F</vt:lpwstr>
  </property>
</Properties>
</file>