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>
    <v:background id="_x0000_s1025" o:bwmode="white" fillcolor="white [3212]" o:targetscreensize="1024,768">
      <v:fill color2="white [3212]" focusposition=".5,.5" focussize="" type="gradient"/>
    </v:background>
  </w:background>
  <w:body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9"/>
        <w:gridCol w:w="1016"/>
        <w:gridCol w:w="2611"/>
      </w:tblGrid>
      <w:tr w:rsidR="003D59E3" w:rsidRPr="001164D6" w14:paraId="528278D5" w14:textId="77777777" w:rsidTr="003D59E3">
        <w:trPr>
          <w:jc w:val="center"/>
        </w:trPr>
        <w:tc>
          <w:tcPr>
            <w:tcW w:w="2599" w:type="dxa"/>
            <w:vAlign w:val="center"/>
          </w:tcPr>
          <w:p w14:paraId="467FC05C" w14:textId="06AB30D1" w:rsidR="003D59E3" w:rsidRPr="001164D6" w:rsidRDefault="003D59E3" w:rsidP="003D59E3">
            <w:pPr>
              <w:spacing w:before="240"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6" w:type="dxa"/>
          </w:tcPr>
          <w:p w14:paraId="39AB69AE" w14:textId="669B0932" w:rsidR="003D59E3" w:rsidRPr="001164D6" w:rsidRDefault="003D59E3" w:rsidP="003D59E3">
            <w:pPr>
              <w:spacing w:before="240" w:after="120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611" w:type="dxa"/>
            <w:vAlign w:val="center"/>
          </w:tcPr>
          <w:p w14:paraId="2E035FE4" w14:textId="61985C0B" w:rsidR="003D59E3" w:rsidRPr="001164D6" w:rsidRDefault="003D59E3" w:rsidP="003D59E3">
            <w:pPr>
              <w:spacing w:before="240"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D97B910" w14:textId="6697DEC1" w:rsidR="00D06DC2" w:rsidRDefault="008A47B5" w:rsidP="00D06DC2">
      <w:pPr>
        <w:rPr>
          <w:rFonts w:ascii="Arial" w:hAnsi="Arial" w:cs="Arial"/>
          <w:lang w:val="fr-FR"/>
        </w:rPr>
      </w:pPr>
      <w:r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97F82" wp14:editId="4FA0EC8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167755" cy="1595755"/>
                <wp:effectExtent l="19050" t="57150" r="42545" b="4254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7755" cy="159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perspectiveFront"/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E39CF" w14:textId="294E4F6B" w:rsidR="008A47B5" w:rsidRPr="008A47B5" w:rsidRDefault="008A47B5" w:rsidP="008A47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fr-FR"/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</w:pPr>
                            <w:r w:rsidRPr="008A47B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fr-FR"/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  <w:t xml:space="preserve">LES RATIOS </w:t>
                            </w:r>
                            <w:r w:rsidR="00227DF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fr-FR"/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  <w:t xml:space="preserve">DE </w:t>
                            </w:r>
                            <w:r w:rsidR="0020607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fr-FR"/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  <w:t>LIQUIDITE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50800" h="38100" prst="ribl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97F82" id="Rectangle 1" o:spid="_x0000_s1026" style="position:absolute;margin-left:0;margin-top:0;width:485.65pt;height:125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" filled="f" stroked="f" strokeweight="2pt">
                <o:extrusion v:ext="view" viewpoint="0,0" viewpointorigin="0,0" skewangle="45" skewamt="0" type="perspective"/>
                <v:textbox>
                  <w:txbxContent>
                    <w:p w14:paraId="4D1E39CF" w14:textId="294E4F6B" w:rsidR="008A47B5" w:rsidRPr="008A47B5" w:rsidRDefault="008A47B5" w:rsidP="008A47B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8"/>
                          <w:szCs w:val="48"/>
                          <w:lang w:val="fr-FR"/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</w:pPr>
                      <w:r w:rsidRPr="008A47B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8"/>
                          <w:szCs w:val="48"/>
                          <w:lang w:val="fr-FR"/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  <w:t xml:space="preserve">LES RATIOS </w:t>
                      </w:r>
                      <w:r w:rsidR="00227DF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8"/>
                          <w:szCs w:val="48"/>
                          <w:lang w:val="fr-FR"/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  <w:t xml:space="preserve">DE </w:t>
                      </w:r>
                      <w:r w:rsidR="0020607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8"/>
                          <w:szCs w:val="48"/>
                          <w:lang w:val="fr-FR"/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  <w:t>LIQUIDITE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3681CC2C" w14:textId="77777777" w:rsidR="00D06DC2" w:rsidRDefault="00D06DC2" w:rsidP="00D06DC2">
      <w:pPr>
        <w:rPr>
          <w:rFonts w:ascii="Arial" w:hAnsi="Arial" w:cs="Arial"/>
          <w:lang w:val="fr-FR"/>
        </w:rPr>
        <w:sectPr w:rsidR="00D06DC2" w:rsidSect="00081DD4">
          <w:headerReference w:type="default" r:id="rId12"/>
          <w:footerReference w:type="default" r:id="rId13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14:paraId="33572E4A" w14:textId="77777777" w:rsidR="00D06DC2" w:rsidRPr="004B2FB5" w:rsidRDefault="00D06DC2" w:rsidP="00D06DC2">
      <w:pPr>
        <w:rPr>
          <w:rFonts w:ascii="Arial" w:hAnsi="Arial" w:cs="Arial"/>
          <w:b/>
          <w:bCs/>
          <w:sz w:val="10"/>
          <w:szCs w:val="10"/>
          <w:lang w:val="fr-FR"/>
        </w:rPr>
      </w:pPr>
    </w:p>
    <w:p w14:paraId="4221DFEE" w14:textId="1AAFE030" w:rsidR="00227DF3" w:rsidRDefault="00227DF3" w:rsidP="00D06DC2">
      <w:pPr>
        <w:rPr>
          <w:rFonts w:ascii="Arial" w:hAnsi="Arial" w:cs="Arial"/>
          <w:b/>
          <w:bCs/>
          <w:lang w:val="fr-FR"/>
        </w:rPr>
      </w:pPr>
    </w:p>
    <w:p w14:paraId="68384CA1" w14:textId="52E0A95C" w:rsidR="00610582" w:rsidRDefault="00610582" w:rsidP="00D06DC2">
      <w:pPr>
        <w:rPr>
          <w:rFonts w:ascii="Arial" w:hAnsi="Arial" w:cs="Arial"/>
          <w:b/>
          <w:bCs/>
          <w:lang w:val="fr-FR"/>
        </w:rPr>
      </w:pPr>
    </w:p>
    <w:p w14:paraId="0FCE0558" w14:textId="6DAFA90E" w:rsidR="00610582" w:rsidRDefault="00610582" w:rsidP="00D06DC2">
      <w:pPr>
        <w:rPr>
          <w:rFonts w:ascii="Arial" w:hAnsi="Arial" w:cs="Arial"/>
          <w:b/>
          <w:bCs/>
          <w:lang w:val="fr-FR"/>
        </w:rPr>
      </w:pPr>
    </w:p>
    <w:p w14:paraId="4C214956" w14:textId="77777777" w:rsidR="00227DF3" w:rsidRDefault="00227DF3" w:rsidP="00D06DC2">
      <w:pPr>
        <w:rPr>
          <w:rFonts w:ascii="Arial" w:hAnsi="Arial" w:cs="Arial"/>
          <w:b/>
          <w:bCs/>
          <w:lang w:val="fr-FR"/>
        </w:rPr>
      </w:pPr>
    </w:p>
    <w:p w14:paraId="4CFAD72B" w14:textId="0285C471" w:rsidR="00D06DC2" w:rsidRPr="00D06DC2" w:rsidRDefault="00D06DC2" w:rsidP="00D06DC2">
      <w:pPr>
        <w:rPr>
          <w:rFonts w:ascii="Arial" w:hAnsi="Arial" w:cs="Arial"/>
          <w:b/>
          <w:bCs/>
          <w:lang w:val="fr-FR"/>
        </w:rPr>
      </w:pPr>
      <w:r w:rsidRPr="00D06DC2">
        <w:rPr>
          <w:rFonts w:ascii="Arial" w:hAnsi="Arial" w:cs="Arial"/>
          <w:b/>
          <w:bCs/>
          <w:lang w:val="fr-FR"/>
        </w:rPr>
        <w:t>LES RATIOS</w:t>
      </w:r>
      <w:r w:rsidR="001A30AC">
        <w:rPr>
          <w:rFonts w:ascii="Arial" w:hAnsi="Arial" w:cs="Arial"/>
          <w:b/>
          <w:bCs/>
          <w:lang w:val="fr-FR"/>
        </w:rPr>
        <w:t xml:space="preserve"> </w:t>
      </w:r>
      <w:r w:rsidR="00227DF3">
        <w:rPr>
          <w:rFonts w:ascii="Arial" w:hAnsi="Arial" w:cs="Arial"/>
          <w:b/>
          <w:bCs/>
          <w:lang w:val="fr-FR"/>
        </w:rPr>
        <w:t xml:space="preserve">DE </w:t>
      </w:r>
      <w:r w:rsidR="0020607D">
        <w:rPr>
          <w:rFonts w:ascii="Arial" w:hAnsi="Arial" w:cs="Arial"/>
          <w:b/>
          <w:bCs/>
          <w:lang w:val="fr-FR"/>
        </w:rPr>
        <w:t>LIQUIDITE</w:t>
      </w:r>
    </w:p>
    <w:tbl>
      <w:tblPr>
        <w:tblStyle w:val="Grilledutableau"/>
        <w:tblW w:w="12188" w:type="dxa"/>
        <w:jc w:val="center"/>
        <w:tblLook w:val="04A0" w:firstRow="1" w:lastRow="0" w:firstColumn="1" w:lastColumn="0" w:noHBand="0" w:noVBand="1"/>
      </w:tblPr>
      <w:tblGrid>
        <w:gridCol w:w="2915"/>
        <w:gridCol w:w="4848"/>
        <w:gridCol w:w="4425"/>
      </w:tblGrid>
      <w:tr w:rsidR="00227DF3" w:rsidRPr="00B614EE" w14:paraId="008D8B1C" w14:textId="77777777" w:rsidTr="009A0FF7">
        <w:trPr>
          <w:jc w:val="center"/>
        </w:trPr>
        <w:tc>
          <w:tcPr>
            <w:tcW w:w="3057" w:type="dxa"/>
          </w:tcPr>
          <w:p w14:paraId="04ED7C88" w14:textId="77777777" w:rsidR="00227DF3" w:rsidRPr="00B614EE" w:rsidRDefault="00227DF3" w:rsidP="009A0FF7">
            <w:pPr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</w:pPr>
            <w:r w:rsidRPr="00B614EE"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  <w:t>RATIOS</w:t>
            </w:r>
          </w:p>
        </w:tc>
        <w:tc>
          <w:tcPr>
            <w:tcW w:w="4459" w:type="dxa"/>
          </w:tcPr>
          <w:p w14:paraId="25CF248E" w14:textId="77777777" w:rsidR="00227DF3" w:rsidRPr="00B614EE" w:rsidRDefault="00227DF3" w:rsidP="009A0FF7">
            <w:pPr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</w:pPr>
            <w:r w:rsidRPr="00B614EE"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  <w:t>FORMULE</w:t>
            </w:r>
          </w:p>
        </w:tc>
        <w:tc>
          <w:tcPr>
            <w:tcW w:w="4672" w:type="dxa"/>
          </w:tcPr>
          <w:p w14:paraId="16BA34F0" w14:textId="77777777" w:rsidR="00227DF3" w:rsidRPr="00B614EE" w:rsidRDefault="00227DF3" w:rsidP="009A0FF7">
            <w:pPr>
              <w:jc w:val="both"/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</w:pPr>
            <w:r w:rsidRPr="00B614EE"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  <w:t>SENS ECONOMIQUE</w:t>
            </w:r>
          </w:p>
        </w:tc>
      </w:tr>
      <w:tr w:rsidR="00A76D98" w:rsidRPr="0033474F" w14:paraId="26F8F48D" w14:textId="77777777" w:rsidTr="008700B3">
        <w:trPr>
          <w:jc w:val="center"/>
        </w:trPr>
        <w:tc>
          <w:tcPr>
            <w:tcW w:w="3057" w:type="dxa"/>
            <w:vAlign w:val="center"/>
          </w:tcPr>
          <w:p w14:paraId="511E5792" w14:textId="4AF60334" w:rsidR="00A76D98" w:rsidRPr="00227DF3" w:rsidRDefault="00610582" w:rsidP="00227DF3">
            <w:pPr>
              <w:spacing w:before="120" w:after="120"/>
              <w:jc w:val="center"/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  <w:t>Liquidité générale</w:t>
            </w:r>
          </w:p>
        </w:tc>
        <w:tc>
          <w:tcPr>
            <w:tcW w:w="4459" w:type="dxa"/>
            <w:vAlign w:val="center"/>
          </w:tcPr>
          <w:p w14:paraId="14126C8C" w14:textId="0EF0E3C8" w:rsidR="00A76D98" w:rsidRPr="00610582" w:rsidRDefault="00AD3D5E" w:rsidP="008700B3">
            <w:pPr>
              <w:spacing w:before="120" w:after="120"/>
              <w:jc w:val="center"/>
              <w:rPr>
                <w:rFonts w:ascii="Constantia" w:hAnsi="Constantia" w:cs="Arial"/>
                <w:sz w:val="18"/>
                <w:szCs w:val="18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z w:val="18"/>
                        <w:szCs w:val="1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Stocks  + Créances+ Trésorerie actif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Dettes 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18"/>
                            <w:szCs w:val="18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fr-FR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fr-FR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exploitation +Dettes financières à court terme</m:t>
                    </m:r>
                  </m:den>
                </m:f>
              </m:oMath>
            </m:oMathPara>
          </w:p>
        </w:tc>
        <w:tc>
          <w:tcPr>
            <w:tcW w:w="4672" w:type="dxa"/>
            <w:vAlign w:val="center"/>
          </w:tcPr>
          <w:p w14:paraId="2DBAC12C" w14:textId="77777777" w:rsidR="00A76D98" w:rsidRDefault="00610582" w:rsidP="009A0FF7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  <w:r>
              <w:rPr>
                <w:rFonts w:ascii="Constantia" w:hAnsi="Constantia" w:cs="Arial"/>
                <w:sz w:val="18"/>
                <w:szCs w:val="18"/>
                <w:lang w:val="fr-FR"/>
              </w:rPr>
              <w:t>En considérant, l’argent disponible en banque, la valeur des créances à récupérer et des stocks, l’entreprise peut-elle rembourser ses dettes à court terme ?</w:t>
            </w:r>
          </w:p>
          <w:p w14:paraId="696D739B" w14:textId="56F073B7" w:rsidR="005531FC" w:rsidRPr="008700B3" w:rsidRDefault="005531FC" w:rsidP="009A0FF7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  <w:r w:rsidRPr="005531FC">
              <w:rPr>
                <w:rFonts w:ascii="Constantia" w:hAnsi="Constantia" w:cs="Arial"/>
                <w:sz w:val="18"/>
                <w:szCs w:val="18"/>
                <w:lang w:val="fr-FR"/>
              </w:rPr>
              <w:t>Il est préférable que ce ratio soit supérieur à 1,5. Lorsque le ratio est inférieur à 1, c'est le signe d'une liquidité insuffisante.</w:t>
            </w:r>
          </w:p>
        </w:tc>
      </w:tr>
      <w:tr w:rsidR="00610582" w:rsidRPr="0033474F" w14:paraId="399ADD22" w14:textId="77777777" w:rsidTr="008700B3">
        <w:trPr>
          <w:jc w:val="center"/>
        </w:trPr>
        <w:tc>
          <w:tcPr>
            <w:tcW w:w="3057" w:type="dxa"/>
            <w:vAlign w:val="center"/>
          </w:tcPr>
          <w:p w14:paraId="7C5DB583" w14:textId="78B6D66E" w:rsidR="00610582" w:rsidRDefault="00610582" w:rsidP="00610582">
            <w:pPr>
              <w:spacing w:before="120" w:after="120"/>
              <w:jc w:val="center"/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  <w:t>Liquidité réduite</w:t>
            </w:r>
          </w:p>
        </w:tc>
        <w:tc>
          <w:tcPr>
            <w:tcW w:w="4459" w:type="dxa"/>
            <w:vAlign w:val="center"/>
          </w:tcPr>
          <w:p w14:paraId="320962CB" w14:textId="79C1CE78" w:rsidR="00610582" w:rsidRPr="00610582" w:rsidRDefault="00AD3D5E" w:rsidP="00610582">
            <w:pPr>
              <w:spacing w:before="120" w:after="120"/>
              <w:jc w:val="center"/>
              <w:rPr>
                <w:rFonts w:ascii="Constantia" w:hAnsi="Constantia" w:cs="Arial"/>
                <w:sz w:val="18"/>
                <w:szCs w:val="18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z w:val="18"/>
                        <w:szCs w:val="1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Créances + Trésorerie actif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Dettes 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18"/>
                            <w:szCs w:val="18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fr-FR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fr-FR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exploitation +Dettes financières à court terme</m:t>
                    </m:r>
                  </m:den>
                </m:f>
              </m:oMath>
            </m:oMathPara>
          </w:p>
        </w:tc>
        <w:tc>
          <w:tcPr>
            <w:tcW w:w="4672" w:type="dxa"/>
            <w:vAlign w:val="center"/>
          </w:tcPr>
          <w:p w14:paraId="08796CD6" w14:textId="77777777" w:rsidR="00610582" w:rsidRDefault="00610582" w:rsidP="00610582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  <w:r>
              <w:rPr>
                <w:rFonts w:ascii="Constantia" w:hAnsi="Constantia" w:cs="Arial"/>
                <w:sz w:val="18"/>
                <w:szCs w:val="18"/>
                <w:lang w:val="fr-FR"/>
              </w:rPr>
              <w:t>En considérant, l’argent disponible en banque et les créances à récupérer, l’entreprise peut-elle rembourser ses dettes à court terme ?</w:t>
            </w:r>
          </w:p>
          <w:p w14:paraId="2D1FD77F" w14:textId="7C81ED8C" w:rsidR="005531FC" w:rsidRPr="008700B3" w:rsidRDefault="005531FC" w:rsidP="00610582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  <w:r w:rsidRPr="005531FC">
              <w:rPr>
                <w:rFonts w:ascii="Constantia" w:hAnsi="Constantia" w:cs="Arial"/>
                <w:sz w:val="18"/>
                <w:szCs w:val="18"/>
                <w:lang w:val="fr-FR"/>
              </w:rPr>
              <w:t>Ce ratio mesure la possibilité pour l'entreprise de faire face à ses obligations à court terme sur la base de son actif circulant sans les stocks. Un ratio inférieur à 1 n'est pas un bon signe et un ratio supérieur à 1,2 est jugé bon pour les parties prenantes. Lorsque le ratio est égal 1, il s'agit du point mort</w:t>
            </w:r>
          </w:p>
        </w:tc>
      </w:tr>
      <w:tr w:rsidR="00610582" w:rsidRPr="0033474F" w14:paraId="1925002F" w14:textId="77777777" w:rsidTr="008700B3">
        <w:trPr>
          <w:jc w:val="center"/>
        </w:trPr>
        <w:tc>
          <w:tcPr>
            <w:tcW w:w="3057" w:type="dxa"/>
            <w:vAlign w:val="center"/>
          </w:tcPr>
          <w:p w14:paraId="4331F44E" w14:textId="194D3D3D" w:rsidR="00610582" w:rsidRDefault="00610582" w:rsidP="00610582">
            <w:pPr>
              <w:spacing w:before="120" w:after="120"/>
              <w:jc w:val="center"/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  <w:t>Liquidité immédiate</w:t>
            </w:r>
          </w:p>
        </w:tc>
        <w:tc>
          <w:tcPr>
            <w:tcW w:w="4459" w:type="dxa"/>
            <w:vAlign w:val="center"/>
          </w:tcPr>
          <w:p w14:paraId="6E763B36" w14:textId="433309A1" w:rsidR="00610582" w:rsidRPr="00610582" w:rsidRDefault="00AD3D5E" w:rsidP="00610582">
            <w:pPr>
              <w:spacing w:before="120" w:after="120"/>
              <w:jc w:val="center"/>
              <w:rPr>
                <w:rFonts w:ascii="Constantia" w:hAnsi="Constantia" w:cs="Arial"/>
                <w:sz w:val="18"/>
                <w:szCs w:val="18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z w:val="18"/>
                        <w:szCs w:val="1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Trésorerie actif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Dettes financières à court terme</m:t>
                    </m:r>
                  </m:den>
                </m:f>
              </m:oMath>
            </m:oMathPara>
          </w:p>
        </w:tc>
        <w:tc>
          <w:tcPr>
            <w:tcW w:w="4672" w:type="dxa"/>
            <w:vAlign w:val="center"/>
          </w:tcPr>
          <w:p w14:paraId="7F5B4186" w14:textId="77777777" w:rsidR="00610582" w:rsidRDefault="00610582" w:rsidP="00610582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  <w:r>
              <w:rPr>
                <w:rFonts w:ascii="Constantia" w:hAnsi="Constantia" w:cs="Arial"/>
                <w:sz w:val="18"/>
                <w:szCs w:val="18"/>
                <w:lang w:val="fr-FR"/>
              </w:rPr>
              <w:t>L’entreprise dispose-t-elle de suffisamment d’argent liquide pour rembourser ses dettes à court terme ?</w:t>
            </w:r>
          </w:p>
          <w:p w14:paraId="48CA6F84" w14:textId="11F200DF" w:rsidR="005531FC" w:rsidRPr="008700B3" w:rsidRDefault="005531FC" w:rsidP="00610582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  <w:r w:rsidRPr="005531FC">
              <w:rPr>
                <w:rFonts w:ascii="Constantia" w:hAnsi="Constantia" w:cs="Arial"/>
                <w:sz w:val="18"/>
                <w:szCs w:val="18"/>
                <w:lang w:val="fr-FR"/>
              </w:rPr>
              <w:t>Un ratio proche de 0,5 est jugé normal. Lorsqu'il est égal à 1, c'est une excellente situation</w:t>
            </w:r>
          </w:p>
        </w:tc>
      </w:tr>
    </w:tbl>
    <w:p w14:paraId="530E5A68" w14:textId="77777777" w:rsidR="00D06DC2" w:rsidRPr="00D06DC2" w:rsidRDefault="00D06DC2" w:rsidP="00D06DC2">
      <w:pPr>
        <w:rPr>
          <w:rFonts w:ascii="Arial" w:hAnsi="Arial" w:cs="Arial"/>
          <w:sz w:val="18"/>
          <w:szCs w:val="18"/>
          <w:lang w:val="fr-FR"/>
        </w:rPr>
      </w:pPr>
    </w:p>
    <w:sectPr w:rsidR="00D06DC2" w:rsidRPr="00D06DC2" w:rsidSect="00B5126C">
      <w:headerReference w:type="default" r:id="rId14"/>
      <w:pgSz w:w="15840" w:h="12240" w:orient="landscape"/>
      <w:pgMar w:top="720" w:right="720" w:bottom="720" w:left="720" w:header="340" w:footer="6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7DE54" w14:textId="77777777" w:rsidR="00AD3D5E" w:rsidRDefault="00AD3D5E" w:rsidP="008743A1">
      <w:pPr>
        <w:spacing w:after="0" w:line="240" w:lineRule="auto"/>
      </w:pPr>
      <w:r>
        <w:separator/>
      </w:r>
    </w:p>
  </w:endnote>
  <w:endnote w:type="continuationSeparator" w:id="0">
    <w:p w14:paraId="188AB60A" w14:textId="77777777" w:rsidR="00AD3D5E" w:rsidRDefault="00AD3D5E" w:rsidP="008743A1">
      <w:pPr>
        <w:spacing w:after="0" w:line="240" w:lineRule="auto"/>
      </w:pPr>
      <w:r>
        <w:continuationSeparator/>
      </w:r>
    </w:p>
  </w:endnote>
  <w:endnote w:type="continuationNotice" w:id="1">
    <w:p w14:paraId="03E13C07" w14:textId="77777777" w:rsidR="00AD3D5E" w:rsidRDefault="00AD3D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6CA7C" w14:textId="6955ED99" w:rsidR="008743A1" w:rsidRPr="005962DB" w:rsidRDefault="008743A1" w:rsidP="00077CB7">
    <w:pPr>
      <w:pStyle w:val="Pieddepage"/>
      <w:jc w:val="both"/>
      <w:rPr>
        <w:rFonts w:ascii="Constantia" w:hAnsi="Constantia"/>
        <w:b/>
        <w:bCs/>
        <w:sz w:val="14"/>
        <w:szCs w:val="14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7B34D" w14:textId="77777777" w:rsidR="00AD3D5E" w:rsidRDefault="00AD3D5E" w:rsidP="008743A1">
      <w:pPr>
        <w:spacing w:after="0" w:line="240" w:lineRule="auto"/>
      </w:pPr>
      <w:r>
        <w:separator/>
      </w:r>
    </w:p>
  </w:footnote>
  <w:footnote w:type="continuationSeparator" w:id="0">
    <w:p w14:paraId="3345358D" w14:textId="77777777" w:rsidR="00AD3D5E" w:rsidRDefault="00AD3D5E" w:rsidP="008743A1">
      <w:pPr>
        <w:spacing w:after="0" w:line="240" w:lineRule="auto"/>
      </w:pPr>
      <w:r>
        <w:continuationSeparator/>
      </w:r>
    </w:p>
  </w:footnote>
  <w:footnote w:type="continuationNotice" w:id="1">
    <w:p w14:paraId="66BC3C80" w14:textId="77777777" w:rsidR="00AD3D5E" w:rsidRDefault="00AD3D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A1405" w14:textId="6C494E6C" w:rsidR="008743A1" w:rsidRPr="00D26094" w:rsidRDefault="008743A1" w:rsidP="000D3C8C">
    <w:pPr>
      <w:pStyle w:val="En-tte"/>
      <w:rPr>
        <w:rFonts w:ascii="Constantia" w:hAnsi="Constantia"/>
        <w:b/>
        <w:bCs/>
        <w:color w:val="0070C0"/>
        <w:sz w:val="24"/>
        <w:szCs w:val="24"/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EDE8D" w14:textId="208900F1" w:rsidR="00D06DC2" w:rsidRPr="00D26094" w:rsidRDefault="00D06DC2" w:rsidP="00B5126C">
    <w:pPr>
      <w:pStyle w:val="En-tte"/>
      <w:rPr>
        <w:rFonts w:ascii="Arial Narrow" w:hAnsi="Arial Narrow"/>
        <w:b/>
        <w:bCs/>
        <w:color w:val="0070C0"/>
        <w:sz w:val="24"/>
        <w:szCs w:val="24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FA1"/>
    <w:multiLevelType w:val="hybridMultilevel"/>
    <w:tmpl w:val="33362824"/>
    <w:lvl w:ilvl="0" w:tplc="C0C25C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330CD"/>
    <w:multiLevelType w:val="hybridMultilevel"/>
    <w:tmpl w:val="DA7C6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168EA"/>
    <w:multiLevelType w:val="hybridMultilevel"/>
    <w:tmpl w:val="2E189B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B22A0"/>
    <w:multiLevelType w:val="hybridMultilevel"/>
    <w:tmpl w:val="0D70D92E"/>
    <w:lvl w:ilvl="0" w:tplc="34D8B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A62DB"/>
    <w:multiLevelType w:val="hybridMultilevel"/>
    <w:tmpl w:val="D2CA16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64F11"/>
    <w:multiLevelType w:val="hybridMultilevel"/>
    <w:tmpl w:val="F03E3C5A"/>
    <w:lvl w:ilvl="0" w:tplc="34D8B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A366F"/>
    <w:multiLevelType w:val="hybridMultilevel"/>
    <w:tmpl w:val="008685F0"/>
    <w:lvl w:ilvl="0" w:tplc="D1646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024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C870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4C6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C28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82F4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CFD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5E15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2CD8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F039D"/>
    <w:multiLevelType w:val="hybridMultilevel"/>
    <w:tmpl w:val="BEFEB070"/>
    <w:lvl w:ilvl="0" w:tplc="34D8B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06F0D"/>
    <w:multiLevelType w:val="hybridMultilevel"/>
    <w:tmpl w:val="3B06DB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255AC"/>
    <w:multiLevelType w:val="hybridMultilevel"/>
    <w:tmpl w:val="DA7C6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879C2"/>
    <w:multiLevelType w:val="hybridMultilevel"/>
    <w:tmpl w:val="D2CA16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41C94"/>
    <w:multiLevelType w:val="hybridMultilevel"/>
    <w:tmpl w:val="3B06DB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D490D"/>
    <w:multiLevelType w:val="hybridMultilevel"/>
    <w:tmpl w:val="79C88C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E3B73"/>
    <w:multiLevelType w:val="hybridMultilevel"/>
    <w:tmpl w:val="0852B6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D258E"/>
    <w:multiLevelType w:val="hybridMultilevel"/>
    <w:tmpl w:val="C5D86EBE"/>
    <w:lvl w:ilvl="0" w:tplc="34D8B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92F6D"/>
    <w:multiLevelType w:val="hybridMultilevel"/>
    <w:tmpl w:val="4A287006"/>
    <w:lvl w:ilvl="0" w:tplc="34D8B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BB13D9"/>
    <w:multiLevelType w:val="hybridMultilevel"/>
    <w:tmpl w:val="5964E3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8F646E"/>
    <w:multiLevelType w:val="hybridMultilevel"/>
    <w:tmpl w:val="4710B8B8"/>
    <w:lvl w:ilvl="0" w:tplc="11D2F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884F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D29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46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8C2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16B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E4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45A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2A3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E550CE"/>
    <w:multiLevelType w:val="hybridMultilevel"/>
    <w:tmpl w:val="77DEE434"/>
    <w:lvl w:ilvl="0" w:tplc="34D8B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B67DF"/>
    <w:multiLevelType w:val="hybridMultilevel"/>
    <w:tmpl w:val="5964E3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9401E4"/>
    <w:multiLevelType w:val="hybridMultilevel"/>
    <w:tmpl w:val="9FD671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C761E6"/>
    <w:multiLevelType w:val="multilevel"/>
    <w:tmpl w:val="8A4C0276"/>
    <w:lvl w:ilvl="0">
      <w:start w:val="1"/>
      <w:numFmt w:val="decimal"/>
      <w:pStyle w:val="Titre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1"/>
  </w:num>
  <w:num w:numId="2">
    <w:abstractNumId w:val="12"/>
  </w:num>
  <w:num w:numId="3">
    <w:abstractNumId w:val="6"/>
  </w:num>
  <w:num w:numId="4">
    <w:abstractNumId w:val="17"/>
  </w:num>
  <w:num w:numId="5">
    <w:abstractNumId w:val="18"/>
  </w:num>
  <w:num w:numId="6">
    <w:abstractNumId w:val="15"/>
  </w:num>
  <w:num w:numId="7">
    <w:abstractNumId w:val="3"/>
  </w:num>
  <w:num w:numId="8">
    <w:abstractNumId w:val="0"/>
  </w:num>
  <w:num w:numId="9">
    <w:abstractNumId w:val="14"/>
  </w:num>
  <w:num w:numId="10">
    <w:abstractNumId w:val="10"/>
  </w:num>
  <w:num w:numId="11">
    <w:abstractNumId w:val="4"/>
  </w:num>
  <w:num w:numId="12">
    <w:abstractNumId w:val="20"/>
  </w:num>
  <w:num w:numId="13">
    <w:abstractNumId w:val="9"/>
  </w:num>
  <w:num w:numId="14">
    <w:abstractNumId w:val="1"/>
  </w:num>
  <w:num w:numId="15">
    <w:abstractNumId w:val="13"/>
  </w:num>
  <w:num w:numId="16">
    <w:abstractNumId w:val="2"/>
  </w:num>
  <w:num w:numId="17">
    <w:abstractNumId w:val="16"/>
  </w:num>
  <w:num w:numId="18">
    <w:abstractNumId w:val="19"/>
  </w:num>
  <w:num w:numId="19">
    <w:abstractNumId w:val="11"/>
  </w:num>
  <w:num w:numId="20">
    <w:abstractNumId w:val="8"/>
  </w:num>
  <w:num w:numId="21">
    <w:abstractNumId w:val="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EE"/>
    <w:rsid w:val="000001BE"/>
    <w:rsid w:val="0000381D"/>
    <w:rsid w:val="000106C6"/>
    <w:rsid w:val="0001385D"/>
    <w:rsid w:val="00020B30"/>
    <w:rsid w:val="0002210B"/>
    <w:rsid w:val="00024577"/>
    <w:rsid w:val="00026351"/>
    <w:rsid w:val="00031307"/>
    <w:rsid w:val="000471A2"/>
    <w:rsid w:val="00051428"/>
    <w:rsid w:val="00074725"/>
    <w:rsid w:val="00075418"/>
    <w:rsid w:val="000762E0"/>
    <w:rsid w:val="00077CB7"/>
    <w:rsid w:val="00081DD4"/>
    <w:rsid w:val="00082AA3"/>
    <w:rsid w:val="00090E76"/>
    <w:rsid w:val="000914E9"/>
    <w:rsid w:val="000A4F00"/>
    <w:rsid w:val="000B18DC"/>
    <w:rsid w:val="000C16DA"/>
    <w:rsid w:val="000C34D0"/>
    <w:rsid w:val="000D19A4"/>
    <w:rsid w:val="000D3C8C"/>
    <w:rsid w:val="000E129E"/>
    <w:rsid w:val="000E31A1"/>
    <w:rsid w:val="000F38BA"/>
    <w:rsid w:val="00110B86"/>
    <w:rsid w:val="0011167B"/>
    <w:rsid w:val="00111F5F"/>
    <w:rsid w:val="001164D6"/>
    <w:rsid w:val="00116DD4"/>
    <w:rsid w:val="00125914"/>
    <w:rsid w:val="00131BE3"/>
    <w:rsid w:val="00134A8F"/>
    <w:rsid w:val="001402AE"/>
    <w:rsid w:val="001428F1"/>
    <w:rsid w:val="001438F4"/>
    <w:rsid w:val="00157AB8"/>
    <w:rsid w:val="00166787"/>
    <w:rsid w:val="001673DF"/>
    <w:rsid w:val="001716BB"/>
    <w:rsid w:val="00174ACE"/>
    <w:rsid w:val="00177E00"/>
    <w:rsid w:val="00192728"/>
    <w:rsid w:val="00195AAD"/>
    <w:rsid w:val="001A30AC"/>
    <w:rsid w:val="001B5277"/>
    <w:rsid w:val="001B5E63"/>
    <w:rsid w:val="001C293B"/>
    <w:rsid w:val="001C703C"/>
    <w:rsid w:val="001D07DE"/>
    <w:rsid w:val="001E2B00"/>
    <w:rsid w:val="001E51E7"/>
    <w:rsid w:val="001E58A2"/>
    <w:rsid w:val="001F17AF"/>
    <w:rsid w:val="001F2B7D"/>
    <w:rsid w:val="001F36D7"/>
    <w:rsid w:val="002022F1"/>
    <w:rsid w:val="0020607D"/>
    <w:rsid w:val="00211F1D"/>
    <w:rsid w:val="00212A6D"/>
    <w:rsid w:val="002147F3"/>
    <w:rsid w:val="00214C3A"/>
    <w:rsid w:val="002170B6"/>
    <w:rsid w:val="00224F6A"/>
    <w:rsid w:val="002256E8"/>
    <w:rsid w:val="00227ADA"/>
    <w:rsid w:val="00227DF3"/>
    <w:rsid w:val="00232678"/>
    <w:rsid w:val="00235D10"/>
    <w:rsid w:val="002417FC"/>
    <w:rsid w:val="00246BC3"/>
    <w:rsid w:val="00247D87"/>
    <w:rsid w:val="00250DF3"/>
    <w:rsid w:val="0026330A"/>
    <w:rsid w:val="00276AE3"/>
    <w:rsid w:val="00284707"/>
    <w:rsid w:val="002860A6"/>
    <w:rsid w:val="00287DFF"/>
    <w:rsid w:val="002910CA"/>
    <w:rsid w:val="00291E28"/>
    <w:rsid w:val="0029312D"/>
    <w:rsid w:val="00293499"/>
    <w:rsid w:val="00293623"/>
    <w:rsid w:val="002B687E"/>
    <w:rsid w:val="002C179D"/>
    <w:rsid w:val="002C5CF8"/>
    <w:rsid w:val="002C6EF6"/>
    <w:rsid w:val="00301768"/>
    <w:rsid w:val="00301DAD"/>
    <w:rsid w:val="003076DC"/>
    <w:rsid w:val="00316221"/>
    <w:rsid w:val="0032268F"/>
    <w:rsid w:val="00323651"/>
    <w:rsid w:val="00326BFC"/>
    <w:rsid w:val="00327AC0"/>
    <w:rsid w:val="003344AC"/>
    <w:rsid w:val="0033474F"/>
    <w:rsid w:val="0033640E"/>
    <w:rsid w:val="003371C5"/>
    <w:rsid w:val="0035324F"/>
    <w:rsid w:val="003604F0"/>
    <w:rsid w:val="00361D99"/>
    <w:rsid w:val="00367AF2"/>
    <w:rsid w:val="00386BEA"/>
    <w:rsid w:val="003912D1"/>
    <w:rsid w:val="003977E1"/>
    <w:rsid w:val="003A5791"/>
    <w:rsid w:val="003A5972"/>
    <w:rsid w:val="003A5D9A"/>
    <w:rsid w:val="003C2E71"/>
    <w:rsid w:val="003C3661"/>
    <w:rsid w:val="003D59E3"/>
    <w:rsid w:val="003D610E"/>
    <w:rsid w:val="003D6929"/>
    <w:rsid w:val="003D6BAD"/>
    <w:rsid w:val="003E1615"/>
    <w:rsid w:val="003E42A7"/>
    <w:rsid w:val="003E433A"/>
    <w:rsid w:val="003E44AE"/>
    <w:rsid w:val="003F14B3"/>
    <w:rsid w:val="003F2AFD"/>
    <w:rsid w:val="003F3DEB"/>
    <w:rsid w:val="003F737D"/>
    <w:rsid w:val="00405FE3"/>
    <w:rsid w:val="004120BB"/>
    <w:rsid w:val="004149B9"/>
    <w:rsid w:val="00414AD3"/>
    <w:rsid w:val="00417685"/>
    <w:rsid w:val="00434386"/>
    <w:rsid w:val="00436D2B"/>
    <w:rsid w:val="00447F39"/>
    <w:rsid w:val="0045560F"/>
    <w:rsid w:val="00464C30"/>
    <w:rsid w:val="00471A1B"/>
    <w:rsid w:val="00492354"/>
    <w:rsid w:val="00493A00"/>
    <w:rsid w:val="004967C6"/>
    <w:rsid w:val="004A3A49"/>
    <w:rsid w:val="004B2FB5"/>
    <w:rsid w:val="004B48A4"/>
    <w:rsid w:val="004B6C95"/>
    <w:rsid w:val="004C1C3D"/>
    <w:rsid w:val="004D74BA"/>
    <w:rsid w:val="004F10B1"/>
    <w:rsid w:val="004F3B17"/>
    <w:rsid w:val="004F4E37"/>
    <w:rsid w:val="004F7AB1"/>
    <w:rsid w:val="0052102A"/>
    <w:rsid w:val="00521440"/>
    <w:rsid w:val="0052671B"/>
    <w:rsid w:val="00535D2B"/>
    <w:rsid w:val="00537F77"/>
    <w:rsid w:val="00541B07"/>
    <w:rsid w:val="0054222D"/>
    <w:rsid w:val="0054222F"/>
    <w:rsid w:val="00552115"/>
    <w:rsid w:val="005531FC"/>
    <w:rsid w:val="00564232"/>
    <w:rsid w:val="00575326"/>
    <w:rsid w:val="005813E7"/>
    <w:rsid w:val="0058196F"/>
    <w:rsid w:val="00583642"/>
    <w:rsid w:val="0058787E"/>
    <w:rsid w:val="005962DB"/>
    <w:rsid w:val="00597F3F"/>
    <w:rsid w:val="005A4401"/>
    <w:rsid w:val="005A78B9"/>
    <w:rsid w:val="005C333B"/>
    <w:rsid w:val="005E4B7D"/>
    <w:rsid w:val="005E7F56"/>
    <w:rsid w:val="005F4349"/>
    <w:rsid w:val="006002D5"/>
    <w:rsid w:val="00602E19"/>
    <w:rsid w:val="00610582"/>
    <w:rsid w:val="00610B05"/>
    <w:rsid w:val="00625486"/>
    <w:rsid w:val="006319EE"/>
    <w:rsid w:val="00634F47"/>
    <w:rsid w:val="006473E1"/>
    <w:rsid w:val="00647A48"/>
    <w:rsid w:val="00656F79"/>
    <w:rsid w:val="006650FA"/>
    <w:rsid w:val="00682530"/>
    <w:rsid w:val="00684E90"/>
    <w:rsid w:val="00697DC5"/>
    <w:rsid w:val="006A187F"/>
    <w:rsid w:val="006B6642"/>
    <w:rsid w:val="006C0404"/>
    <w:rsid w:val="006C7E44"/>
    <w:rsid w:val="006D49D9"/>
    <w:rsid w:val="006E0ECC"/>
    <w:rsid w:val="006E3770"/>
    <w:rsid w:val="006E5410"/>
    <w:rsid w:val="006E7183"/>
    <w:rsid w:val="006F08FB"/>
    <w:rsid w:val="006F0BE9"/>
    <w:rsid w:val="006F7D1E"/>
    <w:rsid w:val="00700A18"/>
    <w:rsid w:val="00713646"/>
    <w:rsid w:val="0072012E"/>
    <w:rsid w:val="007230E2"/>
    <w:rsid w:val="0072617C"/>
    <w:rsid w:val="00730891"/>
    <w:rsid w:val="007471E4"/>
    <w:rsid w:val="00754074"/>
    <w:rsid w:val="007541F5"/>
    <w:rsid w:val="00762653"/>
    <w:rsid w:val="00765509"/>
    <w:rsid w:val="00783E06"/>
    <w:rsid w:val="007928F6"/>
    <w:rsid w:val="00793FA9"/>
    <w:rsid w:val="0079534B"/>
    <w:rsid w:val="007A027A"/>
    <w:rsid w:val="007A1016"/>
    <w:rsid w:val="007A3B59"/>
    <w:rsid w:val="007A79F1"/>
    <w:rsid w:val="007C01B9"/>
    <w:rsid w:val="007C3B22"/>
    <w:rsid w:val="007D78DB"/>
    <w:rsid w:val="007F2CA5"/>
    <w:rsid w:val="007F482E"/>
    <w:rsid w:val="007F5F73"/>
    <w:rsid w:val="00805507"/>
    <w:rsid w:val="008064E9"/>
    <w:rsid w:val="008114A6"/>
    <w:rsid w:val="0081245F"/>
    <w:rsid w:val="00813646"/>
    <w:rsid w:val="008142D2"/>
    <w:rsid w:val="008165A9"/>
    <w:rsid w:val="00820D6B"/>
    <w:rsid w:val="0082111C"/>
    <w:rsid w:val="008238B1"/>
    <w:rsid w:val="0083223F"/>
    <w:rsid w:val="00832DA9"/>
    <w:rsid w:val="0084372E"/>
    <w:rsid w:val="00843DC7"/>
    <w:rsid w:val="00844A45"/>
    <w:rsid w:val="00845586"/>
    <w:rsid w:val="0085349A"/>
    <w:rsid w:val="008538B5"/>
    <w:rsid w:val="0085395E"/>
    <w:rsid w:val="00860C6A"/>
    <w:rsid w:val="0086131B"/>
    <w:rsid w:val="00865064"/>
    <w:rsid w:val="00865F90"/>
    <w:rsid w:val="008678BA"/>
    <w:rsid w:val="00867F7F"/>
    <w:rsid w:val="008700B3"/>
    <w:rsid w:val="008743A1"/>
    <w:rsid w:val="0087619B"/>
    <w:rsid w:val="00876502"/>
    <w:rsid w:val="00880095"/>
    <w:rsid w:val="0088269F"/>
    <w:rsid w:val="00884712"/>
    <w:rsid w:val="0089659A"/>
    <w:rsid w:val="008A47B5"/>
    <w:rsid w:val="008A7B9F"/>
    <w:rsid w:val="008B056E"/>
    <w:rsid w:val="008B1D2F"/>
    <w:rsid w:val="008B27BC"/>
    <w:rsid w:val="008D1A54"/>
    <w:rsid w:val="008D57EA"/>
    <w:rsid w:val="008E28C5"/>
    <w:rsid w:val="008E3D4B"/>
    <w:rsid w:val="008F1947"/>
    <w:rsid w:val="008F2EAA"/>
    <w:rsid w:val="008F3FB3"/>
    <w:rsid w:val="00900A37"/>
    <w:rsid w:val="00905B82"/>
    <w:rsid w:val="00906A6F"/>
    <w:rsid w:val="00913B78"/>
    <w:rsid w:val="00916379"/>
    <w:rsid w:val="00926315"/>
    <w:rsid w:val="0092682E"/>
    <w:rsid w:val="00927452"/>
    <w:rsid w:val="00930832"/>
    <w:rsid w:val="00944166"/>
    <w:rsid w:val="00954E7F"/>
    <w:rsid w:val="00957689"/>
    <w:rsid w:val="00960159"/>
    <w:rsid w:val="009662B7"/>
    <w:rsid w:val="00972CA1"/>
    <w:rsid w:val="009730E6"/>
    <w:rsid w:val="00974A8E"/>
    <w:rsid w:val="009B108F"/>
    <w:rsid w:val="009B4E3C"/>
    <w:rsid w:val="009B6E7D"/>
    <w:rsid w:val="009C79E1"/>
    <w:rsid w:val="009D5312"/>
    <w:rsid w:val="009E3F05"/>
    <w:rsid w:val="00A07BCA"/>
    <w:rsid w:val="00A16E2C"/>
    <w:rsid w:val="00A17011"/>
    <w:rsid w:val="00A1757B"/>
    <w:rsid w:val="00A20227"/>
    <w:rsid w:val="00A238C5"/>
    <w:rsid w:val="00A23BEC"/>
    <w:rsid w:val="00A32490"/>
    <w:rsid w:val="00A42F3B"/>
    <w:rsid w:val="00A4429B"/>
    <w:rsid w:val="00A547AA"/>
    <w:rsid w:val="00A65B27"/>
    <w:rsid w:val="00A72088"/>
    <w:rsid w:val="00A722BF"/>
    <w:rsid w:val="00A72CC1"/>
    <w:rsid w:val="00A738E5"/>
    <w:rsid w:val="00A76D98"/>
    <w:rsid w:val="00A76F2B"/>
    <w:rsid w:val="00A83EA2"/>
    <w:rsid w:val="00A84768"/>
    <w:rsid w:val="00A94664"/>
    <w:rsid w:val="00A94D90"/>
    <w:rsid w:val="00AA0335"/>
    <w:rsid w:val="00AA3FE5"/>
    <w:rsid w:val="00AA7547"/>
    <w:rsid w:val="00AA7719"/>
    <w:rsid w:val="00AB1518"/>
    <w:rsid w:val="00AB7722"/>
    <w:rsid w:val="00AC23FA"/>
    <w:rsid w:val="00AC35AC"/>
    <w:rsid w:val="00AC579D"/>
    <w:rsid w:val="00AD1364"/>
    <w:rsid w:val="00AD3D5E"/>
    <w:rsid w:val="00AE009A"/>
    <w:rsid w:val="00AE3FA8"/>
    <w:rsid w:val="00AE64F7"/>
    <w:rsid w:val="00AF285C"/>
    <w:rsid w:val="00B00F84"/>
    <w:rsid w:val="00B12FB2"/>
    <w:rsid w:val="00B242A3"/>
    <w:rsid w:val="00B3044F"/>
    <w:rsid w:val="00B309E8"/>
    <w:rsid w:val="00B33E84"/>
    <w:rsid w:val="00B5126C"/>
    <w:rsid w:val="00B55CE0"/>
    <w:rsid w:val="00B614EE"/>
    <w:rsid w:val="00B669E4"/>
    <w:rsid w:val="00B800E8"/>
    <w:rsid w:val="00B84A1C"/>
    <w:rsid w:val="00B9202D"/>
    <w:rsid w:val="00B97726"/>
    <w:rsid w:val="00B9E73F"/>
    <w:rsid w:val="00BA0A40"/>
    <w:rsid w:val="00BA1876"/>
    <w:rsid w:val="00BB07F2"/>
    <w:rsid w:val="00BB3678"/>
    <w:rsid w:val="00BD10FE"/>
    <w:rsid w:val="00BD12BE"/>
    <w:rsid w:val="00BD460A"/>
    <w:rsid w:val="00BE422F"/>
    <w:rsid w:val="00BF36F5"/>
    <w:rsid w:val="00BF567C"/>
    <w:rsid w:val="00BF5D8E"/>
    <w:rsid w:val="00C030BA"/>
    <w:rsid w:val="00C07705"/>
    <w:rsid w:val="00C079CC"/>
    <w:rsid w:val="00C108A2"/>
    <w:rsid w:val="00C11085"/>
    <w:rsid w:val="00C21E20"/>
    <w:rsid w:val="00C22FDF"/>
    <w:rsid w:val="00C24D10"/>
    <w:rsid w:val="00C3029E"/>
    <w:rsid w:val="00C3213F"/>
    <w:rsid w:val="00C33F39"/>
    <w:rsid w:val="00C359B6"/>
    <w:rsid w:val="00C42B05"/>
    <w:rsid w:val="00C42B99"/>
    <w:rsid w:val="00C4564E"/>
    <w:rsid w:val="00C510DC"/>
    <w:rsid w:val="00C55EBA"/>
    <w:rsid w:val="00C56078"/>
    <w:rsid w:val="00C56536"/>
    <w:rsid w:val="00C56EEA"/>
    <w:rsid w:val="00C57936"/>
    <w:rsid w:val="00C6144D"/>
    <w:rsid w:val="00C65A4C"/>
    <w:rsid w:val="00C754B1"/>
    <w:rsid w:val="00C822C3"/>
    <w:rsid w:val="00C83098"/>
    <w:rsid w:val="00C87703"/>
    <w:rsid w:val="00C9312A"/>
    <w:rsid w:val="00C95A3A"/>
    <w:rsid w:val="00C96490"/>
    <w:rsid w:val="00CA274D"/>
    <w:rsid w:val="00CA3398"/>
    <w:rsid w:val="00CC4CCE"/>
    <w:rsid w:val="00CC62D6"/>
    <w:rsid w:val="00CD109A"/>
    <w:rsid w:val="00CE6F9F"/>
    <w:rsid w:val="00CF04D3"/>
    <w:rsid w:val="00CF447E"/>
    <w:rsid w:val="00D01465"/>
    <w:rsid w:val="00D02CE1"/>
    <w:rsid w:val="00D03227"/>
    <w:rsid w:val="00D03EB3"/>
    <w:rsid w:val="00D03F2A"/>
    <w:rsid w:val="00D06595"/>
    <w:rsid w:val="00D06DC2"/>
    <w:rsid w:val="00D07BE2"/>
    <w:rsid w:val="00D1197A"/>
    <w:rsid w:val="00D227F8"/>
    <w:rsid w:val="00D26094"/>
    <w:rsid w:val="00D3505E"/>
    <w:rsid w:val="00D44467"/>
    <w:rsid w:val="00D66CDF"/>
    <w:rsid w:val="00D66DCD"/>
    <w:rsid w:val="00D70627"/>
    <w:rsid w:val="00D713F5"/>
    <w:rsid w:val="00DA37A5"/>
    <w:rsid w:val="00DA5A0C"/>
    <w:rsid w:val="00DB501E"/>
    <w:rsid w:val="00DC3AAA"/>
    <w:rsid w:val="00DC6AD3"/>
    <w:rsid w:val="00E02EB8"/>
    <w:rsid w:val="00E0325B"/>
    <w:rsid w:val="00E038D4"/>
    <w:rsid w:val="00E0691C"/>
    <w:rsid w:val="00E16A27"/>
    <w:rsid w:val="00E16A70"/>
    <w:rsid w:val="00E320E4"/>
    <w:rsid w:val="00E33D97"/>
    <w:rsid w:val="00E429A5"/>
    <w:rsid w:val="00E45C11"/>
    <w:rsid w:val="00E5475E"/>
    <w:rsid w:val="00E656B5"/>
    <w:rsid w:val="00E66C19"/>
    <w:rsid w:val="00E74C37"/>
    <w:rsid w:val="00E8208D"/>
    <w:rsid w:val="00E834A8"/>
    <w:rsid w:val="00E84361"/>
    <w:rsid w:val="00E86F7B"/>
    <w:rsid w:val="00E9343E"/>
    <w:rsid w:val="00E964CF"/>
    <w:rsid w:val="00EA5C1A"/>
    <w:rsid w:val="00EC2EB3"/>
    <w:rsid w:val="00ED6C6F"/>
    <w:rsid w:val="00EE0FB1"/>
    <w:rsid w:val="00EE1D19"/>
    <w:rsid w:val="00EE264D"/>
    <w:rsid w:val="00F001B1"/>
    <w:rsid w:val="00F17AF3"/>
    <w:rsid w:val="00F30A05"/>
    <w:rsid w:val="00F365D8"/>
    <w:rsid w:val="00F41234"/>
    <w:rsid w:val="00F41DA9"/>
    <w:rsid w:val="00F50C89"/>
    <w:rsid w:val="00F51F1E"/>
    <w:rsid w:val="00F55C61"/>
    <w:rsid w:val="00F60337"/>
    <w:rsid w:val="00F613D9"/>
    <w:rsid w:val="00F636F5"/>
    <w:rsid w:val="00F674C9"/>
    <w:rsid w:val="00F70672"/>
    <w:rsid w:val="00F75AAB"/>
    <w:rsid w:val="00F94DCB"/>
    <w:rsid w:val="00FA3B9A"/>
    <w:rsid w:val="00FB2629"/>
    <w:rsid w:val="00FB7194"/>
    <w:rsid w:val="00FC0EF3"/>
    <w:rsid w:val="00FC58B0"/>
    <w:rsid w:val="00FD5E73"/>
    <w:rsid w:val="00FD680A"/>
    <w:rsid w:val="00FD7E3A"/>
    <w:rsid w:val="00FE58D8"/>
    <w:rsid w:val="00FF1410"/>
    <w:rsid w:val="00FF79C4"/>
    <w:rsid w:val="01B229C2"/>
    <w:rsid w:val="0230396F"/>
    <w:rsid w:val="0360DA2A"/>
    <w:rsid w:val="0494B907"/>
    <w:rsid w:val="06E76237"/>
    <w:rsid w:val="07C50943"/>
    <w:rsid w:val="0838817A"/>
    <w:rsid w:val="0AC463AF"/>
    <w:rsid w:val="0D286EFE"/>
    <w:rsid w:val="0F5EE16F"/>
    <w:rsid w:val="0F6994EF"/>
    <w:rsid w:val="0FA17004"/>
    <w:rsid w:val="0FFC93B0"/>
    <w:rsid w:val="13FE2274"/>
    <w:rsid w:val="15A9806E"/>
    <w:rsid w:val="19A6A7BC"/>
    <w:rsid w:val="1B159FDC"/>
    <w:rsid w:val="1C5289A0"/>
    <w:rsid w:val="1D4C4A7C"/>
    <w:rsid w:val="1DA87DE5"/>
    <w:rsid w:val="1F07E884"/>
    <w:rsid w:val="2011888A"/>
    <w:rsid w:val="206830A8"/>
    <w:rsid w:val="21056823"/>
    <w:rsid w:val="2351248A"/>
    <w:rsid w:val="23BE0107"/>
    <w:rsid w:val="262E3C45"/>
    <w:rsid w:val="2912A086"/>
    <w:rsid w:val="2971D3D5"/>
    <w:rsid w:val="29808F0B"/>
    <w:rsid w:val="298155B4"/>
    <w:rsid w:val="29887AF6"/>
    <w:rsid w:val="2A296F37"/>
    <w:rsid w:val="2A373BC0"/>
    <w:rsid w:val="2E1C6A36"/>
    <w:rsid w:val="2F35EF37"/>
    <w:rsid w:val="2F6DB239"/>
    <w:rsid w:val="3033B462"/>
    <w:rsid w:val="306D5B7E"/>
    <w:rsid w:val="30ACB38C"/>
    <w:rsid w:val="30C43D41"/>
    <w:rsid w:val="30F4C689"/>
    <w:rsid w:val="30FAEEEC"/>
    <w:rsid w:val="33A775CB"/>
    <w:rsid w:val="33C3BEBB"/>
    <w:rsid w:val="34D6EE14"/>
    <w:rsid w:val="36E4829D"/>
    <w:rsid w:val="37EBD652"/>
    <w:rsid w:val="38D0CA38"/>
    <w:rsid w:val="39827051"/>
    <w:rsid w:val="39FE9029"/>
    <w:rsid w:val="3B2663C3"/>
    <w:rsid w:val="3BC25CDF"/>
    <w:rsid w:val="3C042F2A"/>
    <w:rsid w:val="3EC70DB7"/>
    <w:rsid w:val="3F98B70D"/>
    <w:rsid w:val="410F5CD5"/>
    <w:rsid w:val="418A0155"/>
    <w:rsid w:val="427B7807"/>
    <w:rsid w:val="428273C0"/>
    <w:rsid w:val="42C9FEDB"/>
    <w:rsid w:val="440F085C"/>
    <w:rsid w:val="4607A167"/>
    <w:rsid w:val="46D45EBB"/>
    <w:rsid w:val="46FC8C98"/>
    <w:rsid w:val="47017D89"/>
    <w:rsid w:val="47486ACA"/>
    <w:rsid w:val="4AD063C7"/>
    <w:rsid w:val="4B5B4B19"/>
    <w:rsid w:val="4C1D0E9E"/>
    <w:rsid w:val="4D21754C"/>
    <w:rsid w:val="50E385D1"/>
    <w:rsid w:val="5201D606"/>
    <w:rsid w:val="53483A87"/>
    <w:rsid w:val="5351D9FD"/>
    <w:rsid w:val="544897B5"/>
    <w:rsid w:val="555EEAEA"/>
    <w:rsid w:val="5612B20B"/>
    <w:rsid w:val="575AAE8C"/>
    <w:rsid w:val="57DB7DF4"/>
    <w:rsid w:val="597B0F9A"/>
    <w:rsid w:val="5A50103C"/>
    <w:rsid w:val="5AD4731F"/>
    <w:rsid w:val="5DDD4D44"/>
    <w:rsid w:val="5F95365E"/>
    <w:rsid w:val="5FA30BCD"/>
    <w:rsid w:val="5FF8EB2C"/>
    <w:rsid w:val="60899903"/>
    <w:rsid w:val="60C7BFB9"/>
    <w:rsid w:val="615B96DF"/>
    <w:rsid w:val="63C21507"/>
    <w:rsid w:val="640E6B06"/>
    <w:rsid w:val="65752C77"/>
    <w:rsid w:val="65A07E9E"/>
    <w:rsid w:val="66426E16"/>
    <w:rsid w:val="66A07E3B"/>
    <w:rsid w:val="66FA692C"/>
    <w:rsid w:val="686EBEDF"/>
    <w:rsid w:val="68C3A6CA"/>
    <w:rsid w:val="68DCA32A"/>
    <w:rsid w:val="69678AC9"/>
    <w:rsid w:val="6ABB4FA4"/>
    <w:rsid w:val="6B17CF2E"/>
    <w:rsid w:val="6B22868C"/>
    <w:rsid w:val="6B2E701E"/>
    <w:rsid w:val="6B8C1C76"/>
    <w:rsid w:val="6D54D06D"/>
    <w:rsid w:val="6DDFD6E4"/>
    <w:rsid w:val="6E1DE0B5"/>
    <w:rsid w:val="6F18DBD7"/>
    <w:rsid w:val="6F33DBC1"/>
    <w:rsid w:val="70FB544E"/>
    <w:rsid w:val="72E7F636"/>
    <w:rsid w:val="7434938E"/>
    <w:rsid w:val="7501B11E"/>
    <w:rsid w:val="776AFBA5"/>
    <w:rsid w:val="78BFFD55"/>
    <w:rsid w:val="79ABD48A"/>
    <w:rsid w:val="7B2B654D"/>
    <w:rsid w:val="7B343521"/>
    <w:rsid w:val="7C1E1817"/>
    <w:rsid w:val="7C8E3FA5"/>
    <w:rsid w:val="7CA5EC55"/>
    <w:rsid w:val="7CE5D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F9C5E"/>
  <w15:chartTrackingRefBased/>
  <w15:docId w15:val="{819F34AA-B0EE-4C87-AF18-5A829C4B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001B1"/>
    <w:pPr>
      <w:keepNext/>
      <w:keepLines/>
      <w:numPr>
        <w:numId w:val="1"/>
      </w:numPr>
      <w:spacing w:before="480" w:after="240" w:line="240" w:lineRule="auto"/>
      <w:ind w:left="357" w:hanging="357"/>
      <w:jc w:val="both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1DD4"/>
    <w:pPr>
      <w:keepNext/>
      <w:keepLines/>
      <w:spacing w:before="120" w:after="120" w:line="240" w:lineRule="auto"/>
      <w:ind w:left="720"/>
      <w:jc w:val="center"/>
      <w:outlineLvl w:val="1"/>
    </w:pPr>
    <w:rPr>
      <w:rFonts w:ascii="Arial" w:eastAsiaTheme="majorEastAsia" w:hAnsi="Arial" w:cstheme="majorBidi"/>
      <w:b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01B1"/>
    <w:rPr>
      <w:rFonts w:ascii="Arial" w:eastAsiaTheme="majorEastAsia" w:hAnsi="Arial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rsid w:val="00631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743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43A1"/>
  </w:style>
  <w:style w:type="paragraph" w:styleId="Pieddepage">
    <w:name w:val="footer"/>
    <w:basedOn w:val="Normal"/>
    <w:link w:val="PieddepageCar"/>
    <w:uiPriority w:val="99"/>
    <w:unhideWhenUsed/>
    <w:rsid w:val="008743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43A1"/>
  </w:style>
  <w:style w:type="character" w:customStyle="1" w:styleId="Titre2Car">
    <w:name w:val="Titre 2 Car"/>
    <w:basedOn w:val="Policepardfaut"/>
    <w:link w:val="Titre2"/>
    <w:uiPriority w:val="9"/>
    <w:rsid w:val="00081DD4"/>
    <w:rPr>
      <w:rFonts w:ascii="Arial" w:eastAsiaTheme="majorEastAsia" w:hAnsi="Arial" w:cstheme="majorBidi"/>
      <w:b/>
      <w:szCs w:val="26"/>
    </w:rPr>
  </w:style>
  <w:style w:type="paragraph" w:styleId="Paragraphedeliste">
    <w:name w:val="List Paragraph"/>
    <w:basedOn w:val="Normal"/>
    <w:uiPriority w:val="34"/>
    <w:qFormat/>
    <w:rsid w:val="00B3044F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2210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2210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10B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29349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93499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4F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4F6A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FB26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2629"/>
    <w:pPr>
      <w:spacing w:after="100"/>
      <w:ind w:left="220"/>
    </w:pPr>
  </w:style>
  <w:style w:type="paragraph" w:styleId="Rvision">
    <w:name w:val="Revision"/>
    <w:hidden/>
    <w:uiPriority w:val="99"/>
    <w:semiHidden/>
    <w:rsid w:val="007230E2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D06D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Mars 2020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2F637CBBA1F44C945D70D347ED3D3F" ma:contentTypeVersion="32" ma:contentTypeDescription="Crée un document." ma:contentTypeScope="" ma:versionID="604b00fc9b6acf2f4a62e0764dee59df">
  <xsd:schema xmlns:xsd="http://www.w3.org/2001/XMLSchema" xmlns:xs="http://www.w3.org/2001/XMLSchema" xmlns:p="http://schemas.microsoft.com/office/2006/metadata/properties" xmlns:ns3="23452c4f-eda2-4116-9a43-7f33b0db5443" xmlns:ns4="7fbed66f-a985-45c5-b4e5-e7385fb59853" targetNamespace="http://schemas.microsoft.com/office/2006/metadata/properties" ma:root="true" ma:fieldsID="77cdddb30c2a6504cfbdec2b1cb92b04" ns3:_="" ns4:_="">
    <xsd:import namespace="23452c4f-eda2-4116-9a43-7f33b0db5443"/>
    <xsd:import namespace="7fbed66f-a985-45c5-b4e5-e7385fb59853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TeamsChannelId" minOccurs="0"/>
                <xsd:element ref="ns3:Math_Settings" minOccurs="0"/>
                <xsd:element ref="ns3:Distribution_Groups" minOccurs="0"/>
                <xsd:element ref="ns3:LMS_Mappings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452c4f-eda2-4116-9a43-7f33b0db544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ChannelId" ma:index="35" nillable="true" ma:displayName="Teams Channel Id" ma:internalName="TeamsChannelId">
      <xsd:simpleType>
        <xsd:restriction base="dms:Text"/>
      </xsd:simpleType>
    </xsd:element>
    <xsd:element name="Math_Settings" ma:index="36" nillable="true" ma:displayName="Math Settings" ma:internalName="Math_Settings">
      <xsd:simpleType>
        <xsd:restriction base="dms:Text"/>
      </xsd:simpleType>
    </xsd:element>
    <xsd:element name="Distribution_Groups" ma:index="3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8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ed66f-a985-45c5-b4e5-e7385fb59853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23452c4f-eda2-4116-9a43-7f33b0db5443" xsi:nil="true"/>
    <LMS_Mappings xmlns="23452c4f-eda2-4116-9a43-7f33b0db5443" xsi:nil="true"/>
    <NotebookType xmlns="23452c4f-eda2-4116-9a43-7f33b0db5443" xsi:nil="true"/>
    <Student_Groups xmlns="23452c4f-eda2-4116-9a43-7f33b0db5443">
      <UserInfo>
        <DisplayName/>
        <AccountId xsi:nil="true"/>
        <AccountType/>
      </UserInfo>
    </Student_Groups>
    <DefaultSectionNames xmlns="23452c4f-eda2-4116-9a43-7f33b0db5443" xsi:nil="true"/>
    <Owner xmlns="23452c4f-eda2-4116-9a43-7f33b0db5443">
      <UserInfo>
        <DisplayName/>
        <AccountId xsi:nil="true"/>
        <AccountType/>
      </UserInfo>
    </Owner>
    <Students xmlns="23452c4f-eda2-4116-9a43-7f33b0db5443">
      <UserInfo>
        <DisplayName/>
        <AccountId xsi:nil="true"/>
        <AccountType/>
      </UserInfo>
    </Students>
    <Math_Settings xmlns="23452c4f-eda2-4116-9a43-7f33b0db5443" xsi:nil="true"/>
    <Is_Collaboration_Space_Locked xmlns="23452c4f-eda2-4116-9a43-7f33b0db5443" xsi:nil="true"/>
    <Invited_Teachers xmlns="23452c4f-eda2-4116-9a43-7f33b0db5443" xsi:nil="true"/>
    <Invited_Students xmlns="23452c4f-eda2-4116-9a43-7f33b0db5443" xsi:nil="true"/>
    <IsNotebookLocked xmlns="23452c4f-eda2-4116-9a43-7f33b0db5443" xsi:nil="true"/>
    <FolderType xmlns="23452c4f-eda2-4116-9a43-7f33b0db5443" xsi:nil="true"/>
    <Templates xmlns="23452c4f-eda2-4116-9a43-7f33b0db5443" xsi:nil="true"/>
    <Has_Teacher_Only_SectionGroup xmlns="23452c4f-eda2-4116-9a43-7f33b0db5443" xsi:nil="true"/>
    <TeamsChannelId xmlns="23452c4f-eda2-4116-9a43-7f33b0db5443" xsi:nil="true"/>
    <Teachers xmlns="23452c4f-eda2-4116-9a43-7f33b0db5443">
      <UserInfo>
        <DisplayName/>
        <AccountId xsi:nil="true"/>
        <AccountType/>
      </UserInfo>
    </Teachers>
    <CultureName xmlns="23452c4f-eda2-4116-9a43-7f33b0db5443" xsi:nil="true"/>
    <Distribution_Groups xmlns="23452c4f-eda2-4116-9a43-7f33b0db5443" xsi:nil="true"/>
    <Self_Registration_Enabled xmlns="23452c4f-eda2-4116-9a43-7f33b0db5443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3DE32F-95E3-407B-B433-6007D72CB0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E5D344-C766-4731-A777-08EB43DB8F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452c4f-eda2-4116-9a43-7f33b0db5443"/>
    <ds:schemaRef ds:uri="7fbed66f-a985-45c5-b4e5-e7385fb598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FBED27-B763-4341-A96B-82C01561BEE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CBD8B15-381D-45FB-A375-21DD86984B02}">
  <ds:schemaRefs>
    <ds:schemaRef ds:uri="http://schemas.microsoft.com/office/2006/metadata/properties"/>
    <ds:schemaRef ds:uri="http://schemas.microsoft.com/office/infopath/2007/PartnerControls"/>
    <ds:schemaRef ds:uri="23452c4f-eda2-4116-9a43-7f33b0db54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2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©Copyright Alassane OUATTARA, Ph.D en Finance et Comptabilité</vt:lpstr>
    </vt:vector>
  </TitlesOfParts>
  <Company/>
  <LinksUpToDate>false</LinksUpToDate>
  <CharactersWithSpaces>1486</CharactersWithSpaces>
  <SharedDoc>false</SharedDoc>
  <HLinks>
    <vt:vector size="144" baseType="variant">
      <vt:variant>
        <vt:i4>327746</vt:i4>
      </vt:variant>
      <vt:variant>
        <vt:i4>117</vt:i4>
      </vt:variant>
      <vt:variant>
        <vt:i4>0</vt:i4>
      </vt:variant>
      <vt:variant>
        <vt:i4>5</vt:i4>
      </vt:variant>
      <vt:variant>
        <vt:lpwstr>https://dx.doi.org/10.3390/su9071159</vt:lpwstr>
      </vt:variant>
      <vt:variant>
        <vt:lpwstr/>
      </vt:variant>
      <vt:variant>
        <vt:i4>1638480</vt:i4>
      </vt:variant>
      <vt:variant>
        <vt:i4>114</vt:i4>
      </vt:variant>
      <vt:variant>
        <vt:i4>0</vt:i4>
      </vt:variant>
      <vt:variant>
        <vt:i4>5</vt:i4>
      </vt:variant>
      <vt:variant>
        <vt:lpwstr>https://doi.org/10.1108/03090591011023961</vt:lpwstr>
      </vt:variant>
      <vt:variant>
        <vt:lpwstr/>
      </vt:variant>
      <vt:variant>
        <vt:i4>5046301</vt:i4>
      </vt:variant>
      <vt:variant>
        <vt:i4>111</vt:i4>
      </vt:variant>
      <vt:variant>
        <vt:i4>0</vt:i4>
      </vt:variant>
      <vt:variant>
        <vt:i4>5</vt:i4>
      </vt:variant>
      <vt:variant>
        <vt:lpwstr>https://dx.doi.org/10.1007/s00168-014-0653-x</vt:lpwstr>
      </vt:variant>
      <vt:variant>
        <vt:lpwstr/>
      </vt:variant>
      <vt:variant>
        <vt:i4>5374064</vt:i4>
      </vt:variant>
      <vt:variant>
        <vt:i4>108</vt:i4>
      </vt:variant>
      <vt:variant>
        <vt:i4>0</vt:i4>
      </vt:variant>
      <vt:variant>
        <vt:i4>5</vt:i4>
      </vt:variant>
      <vt:variant>
        <vt:lpwstr>mailto:balibie.bayala@cesag.edu.sn</vt:lpwstr>
      </vt:variant>
      <vt:variant>
        <vt:lpwstr/>
      </vt:variant>
      <vt:variant>
        <vt:i4>20</vt:i4>
      </vt:variant>
      <vt:variant>
        <vt:i4>105</vt:i4>
      </vt:variant>
      <vt:variant>
        <vt:i4>0</vt:i4>
      </vt:variant>
      <vt:variant>
        <vt:i4>5</vt:i4>
      </vt:variant>
      <vt:variant>
        <vt:lpwstr>http://www.cesag.sn/</vt:lpwstr>
      </vt:variant>
      <vt:variant>
        <vt:lpwstr/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_Toc36398829</vt:lpwstr>
      </vt:variant>
      <vt:variant>
        <vt:i4>1572922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_Toc36398828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_Toc36398827</vt:lpwstr>
      </vt:variant>
      <vt:variant>
        <vt:i4>1441850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_Toc36398826</vt:lpwstr>
      </vt:variant>
      <vt:variant>
        <vt:i4>1376314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_Toc36398825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_Toc36398824</vt:lpwstr>
      </vt:variant>
      <vt:variant>
        <vt:i4>1245242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_Toc36398823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_Toc36398822</vt:lpwstr>
      </vt:variant>
      <vt:variant>
        <vt:i4>1114170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_Toc36398821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_Toc36398820</vt:lpwstr>
      </vt:variant>
      <vt:variant>
        <vt:i4>1638457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_Toc36398819</vt:lpwstr>
      </vt:variant>
      <vt:variant>
        <vt:i4>1572921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_Toc36398818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_Toc36398817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_Toc36398816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_Toc36398815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_Toc36398814</vt:lpwstr>
      </vt:variant>
      <vt:variant>
        <vt:i4>1245241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_Toc36398813</vt:lpwstr>
      </vt:variant>
      <vt:variant>
        <vt:i4>4522060</vt:i4>
      </vt:variant>
      <vt:variant>
        <vt:i4>3</vt:i4>
      </vt:variant>
      <vt:variant>
        <vt:i4>0</vt:i4>
      </vt:variant>
      <vt:variant>
        <vt:i4>5</vt:i4>
      </vt:variant>
      <vt:variant>
        <vt:lpwstr>http://documents.worldbank.org/curated/en/332881525873182837/The-Global-Findex-Database-2017-Measuring-Financial-Inclusion-and-the-Fintech-Revolution</vt:lpwstr>
      </vt:variant>
      <vt:variant>
        <vt:lpwstr/>
      </vt:variant>
      <vt:variant>
        <vt:i4>2687011</vt:i4>
      </vt:variant>
      <vt:variant>
        <vt:i4>0</vt:i4>
      </vt:variant>
      <vt:variant>
        <vt:i4>0</vt:i4>
      </vt:variant>
      <vt:variant>
        <vt:i4>5</vt:i4>
      </vt:variant>
      <vt:variant>
        <vt:lpwstr>https://openknowledge.worldbank.org/handle/10986/32436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©Copyright Alassane OUATTARA, Ph.D en Finance et Comptabilité</dc:title>
  <dc:subject/>
  <dc:creator>Mahalia Kim Hoa</dc:creator>
  <cp:keywords/>
  <dc:description/>
  <cp:lastModifiedBy>Pr Alioune Badara MBENGUE</cp:lastModifiedBy>
  <cp:revision>445</cp:revision>
  <cp:lastPrinted>2020-04-19T09:39:00Z</cp:lastPrinted>
  <dcterms:created xsi:type="dcterms:W3CDTF">2020-03-29T01:14:00Z</dcterms:created>
  <dcterms:modified xsi:type="dcterms:W3CDTF">2022-11-15T17:20:00Z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0x010100F12F637CBBA1F44C945D70D347ED3D3F</vt:lpwstr>
  </property>
</Properties>
</file>