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39B3380E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LES RATIOS </w:t>
                            </w:r>
                            <w:r w:rsidR="00227DF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DE </w:t>
                            </w:r>
                            <w:r w:rsidR="00C42B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REN</w:t>
                            </w:r>
                            <w:r w:rsidR="00227DF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TABILITE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39B3380E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LES RATIOS </w:t>
                      </w:r>
                      <w:r w:rsidR="00227DF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DE </w:t>
                      </w:r>
                      <w:r w:rsidR="00C42B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REN</w:t>
                      </w:r>
                      <w:r w:rsidR="00227DF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TABILITE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footerReference w:type="default" r:id="rId12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4CFAD72B" w14:textId="07FF4F6F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</w:t>
      </w:r>
      <w:r w:rsidR="00227DF3">
        <w:rPr>
          <w:rFonts w:ascii="Arial" w:hAnsi="Arial" w:cs="Arial"/>
          <w:b/>
          <w:bCs/>
          <w:lang w:val="fr-FR"/>
        </w:rPr>
        <w:t xml:space="preserve">DE </w:t>
      </w:r>
      <w:r w:rsidR="00C42B05">
        <w:rPr>
          <w:rFonts w:ascii="Arial" w:hAnsi="Arial" w:cs="Arial"/>
          <w:b/>
          <w:bCs/>
          <w:lang w:val="fr-FR"/>
        </w:rPr>
        <w:t>REN</w:t>
      </w:r>
      <w:r w:rsidR="00227DF3">
        <w:rPr>
          <w:rFonts w:ascii="Arial" w:hAnsi="Arial" w:cs="Arial"/>
          <w:b/>
          <w:bCs/>
          <w:lang w:val="fr-FR"/>
        </w:rPr>
        <w:t>TABILITE</w:t>
      </w:r>
    </w:p>
    <w:tbl>
      <w:tblPr>
        <w:tblStyle w:val="Grilledutableau"/>
        <w:tblW w:w="14596" w:type="dxa"/>
        <w:jc w:val="center"/>
        <w:tblLook w:val="04A0" w:firstRow="1" w:lastRow="0" w:firstColumn="1" w:lastColumn="0" w:noHBand="0" w:noVBand="1"/>
      </w:tblPr>
      <w:tblGrid>
        <w:gridCol w:w="3346"/>
        <w:gridCol w:w="4162"/>
        <w:gridCol w:w="7088"/>
      </w:tblGrid>
      <w:tr w:rsidR="00227DF3" w:rsidRPr="00B614EE" w14:paraId="008D8B1C" w14:textId="77777777" w:rsidTr="00A36932">
        <w:trPr>
          <w:jc w:val="center"/>
        </w:trPr>
        <w:tc>
          <w:tcPr>
            <w:tcW w:w="3346" w:type="dxa"/>
          </w:tcPr>
          <w:p w14:paraId="04ED7C88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4162" w:type="dxa"/>
          </w:tcPr>
          <w:p w14:paraId="25CF248E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7088" w:type="dxa"/>
          </w:tcPr>
          <w:p w14:paraId="16BA34F0" w14:textId="77777777" w:rsidR="00227DF3" w:rsidRPr="00B614EE" w:rsidRDefault="00227DF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A76D98" w:rsidRPr="00C42B05" w14:paraId="26F8F48D" w14:textId="77777777" w:rsidTr="00A36932">
        <w:trPr>
          <w:jc w:val="center"/>
        </w:trPr>
        <w:tc>
          <w:tcPr>
            <w:tcW w:w="3346" w:type="dxa"/>
            <w:vAlign w:val="center"/>
          </w:tcPr>
          <w:p w14:paraId="511E5792" w14:textId="63B414AE" w:rsidR="00A76D98" w:rsidRPr="00227DF3" w:rsidRDefault="00A76D98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Rentabilité de l’actif brut</w:t>
            </w:r>
          </w:p>
        </w:tc>
        <w:tc>
          <w:tcPr>
            <w:tcW w:w="4162" w:type="dxa"/>
            <w:vAlign w:val="center"/>
          </w:tcPr>
          <w:p w14:paraId="14126C8C" w14:textId="123AD48A" w:rsidR="00A76D98" w:rsidRPr="00B614EE" w:rsidRDefault="005C64FD" w:rsidP="008700B3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Excedent Brut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actif (en valeur brute)</m:t>
                    </m:r>
                  </m:den>
                </m:f>
              </m:oMath>
            </m:oMathPara>
          </w:p>
        </w:tc>
        <w:tc>
          <w:tcPr>
            <w:tcW w:w="7088" w:type="dxa"/>
            <w:vAlign w:val="center"/>
          </w:tcPr>
          <w:p w14:paraId="696D739B" w14:textId="1C49D258" w:rsidR="00A76D98" w:rsidRPr="008700B3" w:rsidRDefault="00A76D98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Ce ratio mesure la relation entre la </w:t>
            </w:r>
            <w:r w:rsidRPr="00A76D98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performance économique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(indépendamment de la politique d’amortissement et de financement) et </w:t>
            </w:r>
            <w:r w:rsidRPr="00A76D98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l’actif</w:t>
            </w:r>
            <w: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 xml:space="preserve">. </w:t>
            </w:r>
            <w:r w:rsidR="008700B3" w:rsidRPr="008700B3">
              <w:rPr>
                <w:rFonts w:ascii="Constantia" w:hAnsi="Constantia" w:cs="Arial"/>
                <w:sz w:val="18"/>
                <w:szCs w:val="18"/>
                <w:lang w:val="fr-FR"/>
              </w:rPr>
              <w:t>Autrement dit,</w:t>
            </w:r>
            <w:r w:rsidR="008700B3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8700B3">
              <w:rPr>
                <w:rFonts w:ascii="Constantia" w:hAnsi="Constantia" w:cs="Arial"/>
                <w:sz w:val="18"/>
                <w:szCs w:val="18"/>
                <w:lang w:val="fr-FR"/>
              </w:rPr>
              <w:t>l’indicateur permet de répondre à la question : quel est niveau de résultat pour une unité monétaire investie dans l’exploitation de l’entreprise ? Le ratio est aussi calculé après impôts.</w:t>
            </w:r>
          </w:p>
        </w:tc>
      </w:tr>
      <w:tr w:rsidR="00FA3B9A" w:rsidRPr="00C42B05" w14:paraId="2BF03857" w14:textId="77777777" w:rsidTr="00A36932">
        <w:trPr>
          <w:jc w:val="center"/>
        </w:trPr>
        <w:tc>
          <w:tcPr>
            <w:tcW w:w="3346" w:type="dxa"/>
            <w:vAlign w:val="center"/>
          </w:tcPr>
          <w:p w14:paraId="37CA86A3" w14:textId="462EAEBF" w:rsidR="00FA3B9A" w:rsidRPr="00227DF3" w:rsidRDefault="00FA3B9A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Rentabilité de l’actif net</w:t>
            </w:r>
          </w:p>
        </w:tc>
        <w:tc>
          <w:tcPr>
            <w:tcW w:w="4162" w:type="dxa"/>
            <w:vAlign w:val="center"/>
          </w:tcPr>
          <w:p w14:paraId="6F9BE4A4" w14:textId="67FE76DD" w:rsidR="00FA3B9A" w:rsidRPr="00B614EE" w:rsidRDefault="005C64FD" w:rsidP="008700B3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actif (en valeur nette)</m:t>
                    </m:r>
                  </m:den>
                </m:f>
              </m:oMath>
            </m:oMathPara>
          </w:p>
        </w:tc>
        <w:tc>
          <w:tcPr>
            <w:tcW w:w="7088" w:type="dxa"/>
            <w:vMerge w:val="restart"/>
            <w:vAlign w:val="center"/>
          </w:tcPr>
          <w:p w14:paraId="6068B4E2" w14:textId="3DE6A40D" w:rsidR="00FA3B9A" w:rsidRPr="00B614EE" w:rsidRDefault="00FA3B9A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Mesure la relation entre la </w:t>
            </w:r>
            <w:r w:rsidRPr="00A76D98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performance économique</w:t>
            </w:r>
            <w: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 xml:space="preserve"> industrielle et commerciale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(indépendamment de la politique de financement) et </w:t>
            </w:r>
            <w:r w:rsidRPr="00A76D98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l’actif</w:t>
            </w:r>
            <w: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 xml:space="preserve"> (net ou économique) </w:t>
            </w:r>
            <w:r w:rsidRPr="00FA3B9A">
              <w:rPr>
                <w:rFonts w:ascii="Constantia" w:hAnsi="Constantia" w:cs="Arial"/>
                <w:sz w:val="18"/>
                <w:szCs w:val="18"/>
                <w:lang w:val="fr-FR"/>
              </w:rPr>
              <w:t>selon les cas</w:t>
            </w:r>
            <w: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 xml:space="preserve">. </w:t>
            </w:r>
            <w:r w:rsidRPr="008700B3">
              <w:rPr>
                <w:rFonts w:ascii="Constantia" w:hAnsi="Constantia" w:cs="Arial"/>
                <w:sz w:val="18"/>
                <w:szCs w:val="18"/>
                <w:lang w:val="fr-FR"/>
              </w:rPr>
              <w:t>Autrement dit,</w:t>
            </w:r>
            <w: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l’indicateur permet de répondre à la question : quel est niveau de résultat pour une unité monétaire investie dans l’exploitation et l’investissement de l’entreprise ? Le ratio est aussi calculé après impôts.</w:t>
            </w:r>
          </w:p>
        </w:tc>
      </w:tr>
      <w:tr w:rsidR="00FA3B9A" w:rsidRPr="00C42B05" w14:paraId="3D5DDCCF" w14:textId="77777777" w:rsidTr="00A36932">
        <w:trPr>
          <w:jc w:val="center"/>
        </w:trPr>
        <w:tc>
          <w:tcPr>
            <w:tcW w:w="3346" w:type="dxa"/>
            <w:vAlign w:val="center"/>
          </w:tcPr>
          <w:p w14:paraId="39AE2D35" w14:textId="72C51BFE" w:rsidR="00FA3B9A" w:rsidRPr="00227DF3" w:rsidRDefault="00FA3B9A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Rentabilité économique brute</w:t>
            </w:r>
          </w:p>
        </w:tc>
        <w:tc>
          <w:tcPr>
            <w:tcW w:w="4162" w:type="dxa"/>
            <w:vAlign w:val="center"/>
          </w:tcPr>
          <w:p w14:paraId="6A092EA8" w14:textId="6A052BEE" w:rsidR="00FA3B9A" w:rsidRPr="00B614EE" w:rsidRDefault="005C64FD" w:rsidP="008700B3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Actif économique</m:t>
                    </m:r>
                  </m:den>
                </m:f>
              </m:oMath>
            </m:oMathPara>
          </w:p>
        </w:tc>
        <w:tc>
          <w:tcPr>
            <w:tcW w:w="7088" w:type="dxa"/>
            <w:vMerge/>
            <w:vAlign w:val="center"/>
          </w:tcPr>
          <w:p w14:paraId="7957EE4C" w14:textId="69C17FF8" w:rsidR="00FA3B9A" w:rsidRPr="00B614EE" w:rsidRDefault="00FA3B9A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  <w:tr w:rsidR="001B39C2" w:rsidRPr="00FF6508" w14:paraId="75609F75" w14:textId="77777777" w:rsidTr="00A36932">
        <w:trPr>
          <w:jc w:val="center"/>
        </w:trPr>
        <w:tc>
          <w:tcPr>
            <w:tcW w:w="3346" w:type="dxa"/>
            <w:vAlign w:val="center"/>
          </w:tcPr>
          <w:p w14:paraId="46C2C821" w14:textId="74BB9184" w:rsidR="001B39C2" w:rsidRDefault="001B39C2" w:rsidP="001B39C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Rentabilité financière</w:t>
            </w:r>
          </w:p>
        </w:tc>
        <w:tc>
          <w:tcPr>
            <w:tcW w:w="4162" w:type="dxa"/>
            <w:vAlign w:val="center"/>
          </w:tcPr>
          <w:p w14:paraId="398466B7" w14:textId="5ACA65F2" w:rsidR="001B39C2" w:rsidRDefault="005C64FD" w:rsidP="001B39C2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net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Capitaux propres</m:t>
                    </m:r>
                  </m:den>
                </m:f>
              </m:oMath>
            </m:oMathPara>
          </w:p>
        </w:tc>
        <w:tc>
          <w:tcPr>
            <w:tcW w:w="7088" w:type="dxa"/>
            <w:vAlign w:val="center"/>
          </w:tcPr>
          <w:p w14:paraId="27655452" w14:textId="21B5CB75" w:rsidR="001B39C2" w:rsidRPr="00B614EE" w:rsidRDefault="001B39C2" w:rsidP="001B39C2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Quel est le niveau de résultat net correspondant à une unité monétaire investie par un actionnaire ?</w:t>
            </w:r>
          </w:p>
        </w:tc>
      </w:tr>
      <w:tr w:rsidR="001B39C2" w:rsidRPr="001B39C2" w14:paraId="0883BA20" w14:textId="77777777" w:rsidTr="004F5118">
        <w:trPr>
          <w:jc w:val="center"/>
        </w:trPr>
        <w:tc>
          <w:tcPr>
            <w:tcW w:w="14596" w:type="dxa"/>
            <w:gridSpan w:val="3"/>
            <w:vAlign w:val="center"/>
          </w:tcPr>
          <w:p w14:paraId="67677F18" w14:textId="75C60158" w:rsidR="001B39C2" w:rsidRPr="001B39C2" w:rsidRDefault="001B39C2" w:rsidP="001B39C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1B39C2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Décomposition de la rentabilité</w:t>
            </w:r>
          </w:p>
        </w:tc>
      </w:tr>
      <w:tr w:rsidR="001B39C2" w:rsidRPr="00FF6508" w14:paraId="6C44359C" w14:textId="77777777" w:rsidTr="004F5118">
        <w:trPr>
          <w:jc w:val="center"/>
        </w:trPr>
        <w:tc>
          <w:tcPr>
            <w:tcW w:w="3346" w:type="dxa"/>
            <w:vMerge w:val="restart"/>
            <w:vAlign w:val="center"/>
          </w:tcPr>
          <w:p w14:paraId="08E87D84" w14:textId="56A7B327" w:rsidR="001B39C2" w:rsidRDefault="001B39C2" w:rsidP="001B39C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Rentabilité économique</w:t>
            </w:r>
          </w:p>
        </w:tc>
        <w:tc>
          <w:tcPr>
            <w:tcW w:w="11250" w:type="dxa"/>
            <w:gridSpan w:val="2"/>
            <w:vAlign w:val="center"/>
          </w:tcPr>
          <w:p w14:paraId="7E161B2F" w14:textId="77777777" w:rsidR="001B39C2" w:rsidRPr="001B39C2" w:rsidRDefault="005C64FD" w:rsidP="001B39C2">
            <w:pPr>
              <w:spacing w:before="120" w:after="120"/>
              <w:jc w:val="both"/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Actif économique</m:t>
                    </m:r>
                  </m:den>
                </m:f>
              </m:oMath>
            </m:oMathPara>
          </w:p>
          <w:p w14:paraId="5E494A33" w14:textId="77777777" w:rsidR="001B39C2" w:rsidRPr="001B39C2" w:rsidRDefault="001B39C2" w:rsidP="001B39C2">
            <w:pPr>
              <w:spacing w:before="120" w:after="120"/>
              <w:jc w:val="both"/>
              <w:rPr>
                <w:rFonts w:ascii="Constantia" w:eastAsiaTheme="minorEastAsia" w:hAnsi="Constantia" w:cs="Arial"/>
                <w:sz w:val="4"/>
                <w:szCs w:val="4"/>
                <w:lang w:val="fr-FR"/>
              </w:rPr>
            </w:pPr>
          </w:p>
          <w:p w14:paraId="310A1E96" w14:textId="640750D8" w:rsidR="001B39C2" w:rsidRPr="00B614EE" w:rsidRDefault="001B39C2" w:rsidP="001B39C2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  <w:t>(</w:t>
            </w:r>
            <m:oMath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 xml:space="preserve">Marge 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18"/>
                      <w:szCs w:val="18"/>
                      <w:shd w:val="clear" w:color="auto" w:fill="FFFF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 xml:space="preserve">exploitation×Rotation de 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18"/>
                      <w:szCs w:val="18"/>
                      <w:shd w:val="clear" w:color="auto" w:fill="FFFF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>actif économique</m:t>
              </m:r>
            </m:oMath>
            <w:r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  <w:t>)</w:t>
            </w:r>
          </w:p>
        </w:tc>
      </w:tr>
      <w:tr w:rsidR="001B39C2" w:rsidRPr="001B39C2" w14:paraId="19BAE52D" w14:textId="77777777" w:rsidTr="004F5118">
        <w:trPr>
          <w:jc w:val="center"/>
        </w:trPr>
        <w:tc>
          <w:tcPr>
            <w:tcW w:w="3346" w:type="dxa"/>
            <w:vMerge/>
            <w:vAlign w:val="center"/>
          </w:tcPr>
          <w:p w14:paraId="22D2A85C" w14:textId="77777777" w:rsidR="001B39C2" w:rsidRDefault="001B39C2" w:rsidP="001B39C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1250" w:type="dxa"/>
            <w:gridSpan w:val="2"/>
            <w:vAlign w:val="center"/>
          </w:tcPr>
          <w:p w14:paraId="4D413016" w14:textId="700CA831" w:rsidR="001B39C2" w:rsidRPr="001B39C2" w:rsidRDefault="005C64FD" w:rsidP="001B39C2">
            <w:pPr>
              <w:spacing w:before="120" w:after="120"/>
              <w:jc w:val="both"/>
              <w:rPr>
                <w:rFonts w:ascii="Constantia" w:eastAsia="Calibri" w:hAnsi="Constantia" w:cs="Arial"/>
                <w:iCs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Excédent brut d'exploitation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actif</m:t>
                    </m:r>
                  </m:den>
                </m:f>
              </m:oMath>
            </m:oMathPara>
          </w:p>
          <w:p w14:paraId="309D59A3" w14:textId="77777777" w:rsidR="001B39C2" w:rsidRPr="00944E3B" w:rsidRDefault="001B39C2" w:rsidP="001B39C2">
            <w:pPr>
              <w:spacing w:before="120" w:after="120"/>
              <w:jc w:val="both"/>
              <w:rPr>
                <w:rFonts w:ascii="Constantia" w:eastAsia="Calibri" w:hAnsi="Constantia" w:cs="Arial"/>
                <w:iCs/>
                <w:sz w:val="8"/>
                <w:szCs w:val="8"/>
                <w:lang w:val="fr-FR"/>
              </w:rPr>
            </w:pPr>
          </w:p>
          <w:p w14:paraId="069192D7" w14:textId="6DB005DF" w:rsidR="001B39C2" w:rsidRPr="001B39C2" w:rsidRDefault="001B39C2" w:rsidP="001B39C2">
            <w:pPr>
              <w:spacing w:before="120" w:after="120"/>
              <w:jc w:val="both"/>
              <w:rPr>
                <w:rFonts w:ascii="Constantia" w:eastAsia="Calibri" w:hAnsi="Constantia" w:cs="Arial"/>
                <w:iCs/>
                <w:sz w:val="18"/>
                <w:szCs w:val="18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  <w:shd w:val="clear" w:color="auto" w:fill="FFFF00"/>
                    <w:lang w:val="fr-FR"/>
                  </w:rPr>
                  <m:t xml:space="preserve">(Marge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18"/>
                        <w:szCs w:val="18"/>
                        <w:shd w:val="clear" w:color="auto" w:fill="FFFF0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shd w:val="clear" w:color="auto" w:fill="FFFF00"/>
                        <w:lang w:val="fr-FR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shd w:val="clear" w:color="auto" w:fill="FFFF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8"/>
                    <w:szCs w:val="18"/>
                    <w:shd w:val="clear" w:color="auto" w:fill="FFFF00"/>
                    <w:lang w:val="fr-FR"/>
                  </w:rPr>
                  <m:t xml:space="preserve">EBE×Rotation de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18"/>
                        <w:szCs w:val="18"/>
                        <w:shd w:val="clear" w:color="auto" w:fill="FFFF0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shd w:val="clear" w:color="auto" w:fill="FFFF00"/>
                        <w:lang w:val="fr-FR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shd w:val="clear" w:color="auto" w:fill="FFFF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8"/>
                    <w:szCs w:val="18"/>
                    <w:shd w:val="clear" w:color="auto" w:fill="FFFF00"/>
                    <w:lang w:val="fr-FR"/>
                  </w:rPr>
                  <m:t>actif total)</m:t>
                </m:r>
              </m:oMath>
            </m:oMathPara>
          </w:p>
        </w:tc>
      </w:tr>
      <w:tr w:rsidR="00944E3B" w:rsidRPr="00FF6508" w14:paraId="75B5726A" w14:textId="77777777" w:rsidTr="004F5118">
        <w:trPr>
          <w:jc w:val="center"/>
        </w:trPr>
        <w:tc>
          <w:tcPr>
            <w:tcW w:w="3346" w:type="dxa"/>
            <w:vMerge w:val="restart"/>
            <w:vAlign w:val="center"/>
          </w:tcPr>
          <w:p w14:paraId="04A33E4D" w14:textId="6C15C0DA" w:rsidR="00944E3B" w:rsidRDefault="00944E3B" w:rsidP="001B39C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Rentabilité financière</w:t>
            </w:r>
          </w:p>
        </w:tc>
        <w:tc>
          <w:tcPr>
            <w:tcW w:w="11250" w:type="dxa"/>
            <w:gridSpan w:val="2"/>
            <w:vAlign w:val="center"/>
          </w:tcPr>
          <w:p w14:paraId="57AD6FBB" w14:textId="77777777" w:rsidR="00944E3B" w:rsidRPr="00944E3B" w:rsidRDefault="005C64FD" w:rsidP="001B39C2">
            <w:pPr>
              <w:spacing w:before="120" w:after="120"/>
              <w:jc w:val="both"/>
              <w:rPr>
                <w:rFonts w:ascii="Constantia" w:eastAsia="Calibri" w:hAnsi="Constantia" w:cs="Arial"/>
                <w:iCs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 net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Actif économique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Actif économique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Capitaux propres</m:t>
                    </m:r>
                  </m:den>
                </m:f>
              </m:oMath>
            </m:oMathPara>
          </w:p>
          <w:p w14:paraId="3E08BE6B" w14:textId="77777777" w:rsidR="00944E3B" w:rsidRPr="00944E3B" w:rsidRDefault="00944E3B" w:rsidP="001B39C2">
            <w:pPr>
              <w:spacing w:before="120" w:after="120"/>
              <w:jc w:val="both"/>
              <w:rPr>
                <w:rFonts w:ascii="Constantia" w:eastAsia="Calibri" w:hAnsi="Constantia" w:cs="Arial"/>
                <w:iCs/>
                <w:sz w:val="8"/>
                <w:szCs w:val="8"/>
                <w:lang w:val="fr-FR"/>
              </w:rPr>
            </w:pPr>
          </w:p>
          <w:p w14:paraId="0599BB5C" w14:textId="4C9CDEF5" w:rsidR="00944E3B" w:rsidRPr="001B39C2" w:rsidRDefault="00944E3B" w:rsidP="00944E3B">
            <w:pPr>
              <w:spacing w:before="120" w:after="120"/>
              <w:jc w:val="center"/>
              <w:rPr>
                <w:rFonts w:ascii="Constantia" w:eastAsia="Calibri" w:hAnsi="Constantia" w:cs="Arial"/>
                <w:iCs/>
                <w:sz w:val="18"/>
                <w:szCs w:val="18"/>
                <w:lang w:val="fr-FR"/>
              </w:rPr>
            </w:pPr>
            <w:r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  <w:t>(</w:t>
            </w:r>
            <m:oMath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 xml:space="preserve">Marge nette×Rotation de 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18"/>
                      <w:szCs w:val="18"/>
                      <w:shd w:val="clear" w:color="auto" w:fill="FFFF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>actif économique×facteur d'ajustement</m:t>
              </m:r>
            </m:oMath>
            <w:r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  <w:t>)</w:t>
            </w:r>
          </w:p>
        </w:tc>
      </w:tr>
      <w:tr w:rsidR="00944E3B" w:rsidRPr="00FF6508" w14:paraId="0A5F8218" w14:textId="77777777" w:rsidTr="004F5118">
        <w:trPr>
          <w:jc w:val="center"/>
        </w:trPr>
        <w:tc>
          <w:tcPr>
            <w:tcW w:w="3346" w:type="dxa"/>
            <w:vMerge/>
            <w:vAlign w:val="center"/>
          </w:tcPr>
          <w:p w14:paraId="70A540D5" w14:textId="3AB27A97" w:rsidR="00944E3B" w:rsidRDefault="00944E3B" w:rsidP="001B39C2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1250" w:type="dxa"/>
            <w:gridSpan w:val="2"/>
            <w:vAlign w:val="center"/>
          </w:tcPr>
          <w:p w14:paraId="112ABE86" w14:textId="14DE25F7" w:rsidR="00944E3B" w:rsidRPr="00944E3B" w:rsidRDefault="005C64FD" w:rsidP="001B39C2">
            <w:pPr>
              <w:spacing w:before="120" w:after="120"/>
              <w:jc w:val="both"/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 net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affaires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actif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Total actif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Capitaux propres</m:t>
                    </m:r>
                  </m:den>
                </m:f>
              </m:oMath>
            </m:oMathPara>
          </w:p>
          <w:p w14:paraId="29632237" w14:textId="77777777" w:rsidR="00944E3B" w:rsidRPr="00944E3B" w:rsidRDefault="00944E3B" w:rsidP="001B39C2">
            <w:pPr>
              <w:spacing w:before="120" w:after="120"/>
              <w:jc w:val="both"/>
              <w:rPr>
                <w:rFonts w:ascii="Constantia" w:eastAsiaTheme="minorEastAsia" w:hAnsi="Constantia" w:cs="Arial"/>
                <w:iCs/>
                <w:sz w:val="8"/>
                <w:szCs w:val="8"/>
                <w:lang w:val="fr-FR"/>
              </w:rPr>
            </w:pPr>
          </w:p>
          <w:p w14:paraId="715353B6" w14:textId="77777777" w:rsidR="00944E3B" w:rsidRDefault="00944E3B" w:rsidP="00944E3B">
            <w:pPr>
              <w:spacing w:before="120" w:after="120"/>
              <w:jc w:val="center"/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</w:pPr>
            <m:oMath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 xml:space="preserve">(Marge nette×Rotation de 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18"/>
                      <w:szCs w:val="18"/>
                      <w:shd w:val="clear" w:color="auto" w:fill="FFFF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18"/>
                      <w:szCs w:val="18"/>
                      <w:shd w:val="clear" w:color="auto" w:fill="FFFF00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Arial"/>
                  <w:sz w:val="18"/>
                  <w:szCs w:val="18"/>
                  <w:shd w:val="clear" w:color="auto" w:fill="FFFF00"/>
                  <w:lang w:val="fr-FR"/>
                </w:rPr>
                <m:t>actif total×facteur d'ajustement</m:t>
              </m:r>
            </m:oMath>
            <w:r>
              <w:rPr>
                <w:rFonts w:ascii="Constantia" w:eastAsiaTheme="minorEastAsia" w:hAnsi="Constantia" w:cs="Arial"/>
                <w:iCs/>
                <w:sz w:val="18"/>
                <w:szCs w:val="18"/>
                <w:lang w:val="fr-FR"/>
              </w:rPr>
              <w:t>)</w:t>
            </w:r>
          </w:p>
          <w:p w14:paraId="584FD9B3" w14:textId="228F5F9A" w:rsidR="004F5118" w:rsidRPr="00B614EE" w:rsidRDefault="004F5118" w:rsidP="00944E3B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3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A269" w14:textId="77777777" w:rsidR="005C64FD" w:rsidRDefault="005C64FD" w:rsidP="008743A1">
      <w:pPr>
        <w:spacing w:after="0" w:line="240" w:lineRule="auto"/>
      </w:pPr>
      <w:r>
        <w:separator/>
      </w:r>
    </w:p>
  </w:endnote>
  <w:endnote w:type="continuationSeparator" w:id="0">
    <w:p w14:paraId="6D38B797" w14:textId="77777777" w:rsidR="005C64FD" w:rsidRDefault="005C64FD" w:rsidP="008743A1">
      <w:pPr>
        <w:spacing w:after="0" w:line="240" w:lineRule="auto"/>
      </w:pPr>
      <w:r>
        <w:continuationSeparator/>
      </w:r>
    </w:p>
  </w:endnote>
  <w:endnote w:type="continuationNotice" w:id="1">
    <w:p w14:paraId="683917D6" w14:textId="77777777" w:rsidR="005C64FD" w:rsidRDefault="005C6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0430D63D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62C" w14:textId="77777777" w:rsidR="005C64FD" w:rsidRDefault="005C64FD" w:rsidP="008743A1">
      <w:pPr>
        <w:spacing w:after="0" w:line="240" w:lineRule="auto"/>
      </w:pPr>
      <w:r>
        <w:separator/>
      </w:r>
    </w:p>
  </w:footnote>
  <w:footnote w:type="continuationSeparator" w:id="0">
    <w:p w14:paraId="258ABE4C" w14:textId="77777777" w:rsidR="005C64FD" w:rsidRDefault="005C64FD" w:rsidP="008743A1">
      <w:pPr>
        <w:spacing w:after="0" w:line="240" w:lineRule="auto"/>
      </w:pPr>
      <w:r>
        <w:continuationSeparator/>
      </w:r>
    </w:p>
  </w:footnote>
  <w:footnote w:type="continuationNotice" w:id="1">
    <w:p w14:paraId="360CE601" w14:textId="77777777" w:rsidR="005C64FD" w:rsidRDefault="005C6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6A7CA908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71A2"/>
    <w:rsid w:val="00051428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B18DC"/>
    <w:rsid w:val="000C16DA"/>
    <w:rsid w:val="000C34D0"/>
    <w:rsid w:val="000D19A4"/>
    <w:rsid w:val="000D3C8C"/>
    <w:rsid w:val="000E129E"/>
    <w:rsid w:val="000E31A1"/>
    <w:rsid w:val="000F38BA"/>
    <w:rsid w:val="00110B86"/>
    <w:rsid w:val="0011167B"/>
    <w:rsid w:val="00111F5F"/>
    <w:rsid w:val="001164D6"/>
    <w:rsid w:val="00116DD4"/>
    <w:rsid w:val="00125914"/>
    <w:rsid w:val="00131BE3"/>
    <w:rsid w:val="00134A8F"/>
    <w:rsid w:val="001402AE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39C2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11F1D"/>
    <w:rsid w:val="00212A6D"/>
    <w:rsid w:val="002147F3"/>
    <w:rsid w:val="00214C3A"/>
    <w:rsid w:val="002170B6"/>
    <w:rsid w:val="00224F6A"/>
    <w:rsid w:val="002256E8"/>
    <w:rsid w:val="00227ADA"/>
    <w:rsid w:val="00227DF3"/>
    <w:rsid w:val="00232678"/>
    <w:rsid w:val="00235D10"/>
    <w:rsid w:val="002417FC"/>
    <w:rsid w:val="00246BC3"/>
    <w:rsid w:val="00247D87"/>
    <w:rsid w:val="00250DF3"/>
    <w:rsid w:val="0026330A"/>
    <w:rsid w:val="00266B46"/>
    <w:rsid w:val="00276AE3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402A"/>
    <w:rsid w:val="002C5CF8"/>
    <w:rsid w:val="002C6EF6"/>
    <w:rsid w:val="00301768"/>
    <w:rsid w:val="00301DAD"/>
    <w:rsid w:val="003076DC"/>
    <w:rsid w:val="00316221"/>
    <w:rsid w:val="0032268F"/>
    <w:rsid w:val="00323651"/>
    <w:rsid w:val="00326BFC"/>
    <w:rsid w:val="00327AC0"/>
    <w:rsid w:val="003344AC"/>
    <w:rsid w:val="0033640E"/>
    <w:rsid w:val="003371C5"/>
    <w:rsid w:val="0035324F"/>
    <w:rsid w:val="003604F0"/>
    <w:rsid w:val="00361D99"/>
    <w:rsid w:val="00367AF2"/>
    <w:rsid w:val="00386BEA"/>
    <w:rsid w:val="003912D1"/>
    <w:rsid w:val="003977E1"/>
    <w:rsid w:val="003A5791"/>
    <w:rsid w:val="003A5972"/>
    <w:rsid w:val="003A5D9A"/>
    <w:rsid w:val="003C2E71"/>
    <w:rsid w:val="003C3661"/>
    <w:rsid w:val="003D59E3"/>
    <w:rsid w:val="003D610E"/>
    <w:rsid w:val="003D6929"/>
    <w:rsid w:val="003D6BAD"/>
    <w:rsid w:val="003E1615"/>
    <w:rsid w:val="003E42A7"/>
    <w:rsid w:val="003E433A"/>
    <w:rsid w:val="003E44AE"/>
    <w:rsid w:val="003F14B3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560F"/>
    <w:rsid w:val="00464C30"/>
    <w:rsid w:val="00471A1B"/>
    <w:rsid w:val="00492354"/>
    <w:rsid w:val="00493A00"/>
    <w:rsid w:val="004967C6"/>
    <w:rsid w:val="004A3A49"/>
    <w:rsid w:val="004B2FB5"/>
    <w:rsid w:val="004B48A4"/>
    <w:rsid w:val="004B6C95"/>
    <w:rsid w:val="004C1C3D"/>
    <w:rsid w:val="004D74BA"/>
    <w:rsid w:val="004F10B1"/>
    <w:rsid w:val="004F3B17"/>
    <w:rsid w:val="004F4E37"/>
    <w:rsid w:val="004F5118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64232"/>
    <w:rsid w:val="00575326"/>
    <w:rsid w:val="005813E7"/>
    <w:rsid w:val="0058196F"/>
    <w:rsid w:val="00583642"/>
    <w:rsid w:val="0058787E"/>
    <w:rsid w:val="005962DB"/>
    <w:rsid w:val="00597F3F"/>
    <w:rsid w:val="005A4401"/>
    <w:rsid w:val="005A78B9"/>
    <w:rsid w:val="005C333B"/>
    <w:rsid w:val="005C64FD"/>
    <w:rsid w:val="005E4B7D"/>
    <w:rsid w:val="005E7F56"/>
    <w:rsid w:val="005F4349"/>
    <w:rsid w:val="006002D5"/>
    <w:rsid w:val="00602E19"/>
    <w:rsid w:val="00610B05"/>
    <w:rsid w:val="00625486"/>
    <w:rsid w:val="006319EE"/>
    <w:rsid w:val="00634F47"/>
    <w:rsid w:val="006473E1"/>
    <w:rsid w:val="00647A48"/>
    <w:rsid w:val="00656F79"/>
    <w:rsid w:val="006650FA"/>
    <w:rsid w:val="00682530"/>
    <w:rsid w:val="00684E90"/>
    <w:rsid w:val="00697DC5"/>
    <w:rsid w:val="006A187F"/>
    <w:rsid w:val="006B6642"/>
    <w:rsid w:val="006C0404"/>
    <w:rsid w:val="006C7E44"/>
    <w:rsid w:val="006D49D9"/>
    <w:rsid w:val="006E0ECC"/>
    <w:rsid w:val="006E3770"/>
    <w:rsid w:val="006E7183"/>
    <w:rsid w:val="006F08FB"/>
    <w:rsid w:val="006F0BE9"/>
    <w:rsid w:val="006F7D1E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C01B9"/>
    <w:rsid w:val="007C3B22"/>
    <w:rsid w:val="007D78DB"/>
    <w:rsid w:val="007F2CA5"/>
    <w:rsid w:val="007F482E"/>
    <w:rsid w:val="007F5F73"/>
    <w:rsid w:val="00805507"/>
    <w:rsid w:val="008064E9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372E"/>
    <w:rsid w:val="00843DC7"/>
    <w:rsid w:val="00844A45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00B3"/>
    <w:rsid w:val="008743A1"/>
    <w:rsid w:val="00875B87"/>
    <w:rsid w:val="0087619B"/>
    <w:rsid w:val="00876502"/>
    <w:rsid w:val="00880095"/>
    <w:rsid w:val="0088269F"/>
    <w:rsid w:val="00884712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44166"/>
    <w:rsid w:val="00944E3B"/>
    <w:rsid w:val="00954E7F"/>
    <w:rsid w:val="00957689"/>
    <w:rsid w:val="00960159"/>
    <w:rsid w:val="009662B7"/>
    <w:rsid w:val="00972CA1"/>
    <w:rsid w:val="009730E6"/>
    <w:rsid w:val="00974A8E"/>
    <w:rsid w:val="009B108F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36932"/>
    <w:rsid w:val="00A42F3B"/>
    <w:rsid w:val="00A4429B"/>
    <w:rsid w:val="00A547AA"/>
    <w:rsid w:val="00A65B27"/>
    <w:rsid w:val="00A72088"/>
    <w:rsid w:val="00A722BF"/>
    <w:rsid w:val="00A72CC1"/>
    <w:rsid w:val="00A738E5"/>
    <w:rsid w:val="00A76D98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C23FA"/>
    <w:rsid w:val="00AC35AC"/>
    <w:rsid w:val="00AC579D"/>
    <w:rsid w:val="00AE009A"/>
    <w:rsid w:val="00AE3FA8"/>
    <w:rsid w:val="00AE64F7"/>
    <w:rsid w:val="00AF285C"/>
    <w:rsid w:val="00B00F84"/>
    <w:rsid w:val="00B12FB2"/>
    <w:rsid w:val="00B242A3"/>
    <w:rsid w:val="00B3044F"/>
    <w:rsid w:val="00B309E8"/>
    <w:rsid w:val="00B33E84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05"/>
    <w:rsid w:val="00C42B99"/>
    <w:rsid w:val="00C4564E"/>
    <w:rsid w:val="00C510DC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E02EB8"/>
    <w:rsid w:val="00E0325B"/>
    <w:rsid w:val="00E038D4"/>
    <w:rsid w:val="00E0691C"/>
    <w:rsid w:val="00E16A27"/>
    <w:rsid w:val="00E16A70"/>
    <w:rsid w:val="00E320E4"/>
    <w:rsid w:val="00E33D97"/>
    <w:rsid w:val="00E429A5"/>
    <w:rsid w:val="00E45C11"/>
    <w:rsid w:val="00E5475E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D6C6F"/>
    <w:rsid w:val="00EE0FB1"/>
    <w:rsid w:val="00EE1D19"/>
    <w:rsid w:val="00EE264D"/>
    <w:rsid w:val="00F001B1"/>
    <w:rsid w:val="00F17AF3"/>
    <w:rsid w:val="00F30A05"/>
    <w:rsid w:val="00F365D8"/>
    <w:rsid w:val="00F41234"/>
    <w:rsid w:val="00F41DA9"/>
    <w:rsid w:val="00F42EB5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4DCB"/>
    <w:rsid w:val="00FA3B9A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6508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customXml/itemProps4.xml><?xml version="1.0" encoding="utf-8"?>
<ds:datastoreItem xmlns:ds="http://schemas.openxmlformats.org/officeDocument/2006/customXml" ds:itemID="{0FEF2B8D-7AB2-4676-A56E-664B17EF236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©Copyright Alassane OUATTARA, Ph.D en Finance et Comptabilité</vt:lpstr>
    </vt:vector>
  </TitlesOfParts>
  <Company/>
  <LinksUpToDate>false</LinksUpToDate>
  <CharactersWithSpaces>2546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446</cp:revision>
  <cp:lastPrinted>2020-04-19T09:40:00Z</cp:lastPrinted>
  <dcterms:created xsi:type="dcterms:W3CDTF">2020-03-29T01:14:00Z</dcterms:created>
  <dcterms:modified xsi:type="dcterms:W3CDTF">2022-11-15T17:16:00Z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