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7B35" w14:textId="270BE108" w:rsidR="00E37EF3" w:rsidRDefault="004231D2" w:rsidP="004231D2">
      <w:pPr>
        <w:pStyle w:val="Heading1"/>
        <w:rPr>
          <w:lang w:val="fr-SN"/>
        </w:rPr>
      </w:pPr>
      <w:r w:rsidRPr="004231D2">
        <w:rPr>
          <w:lang w:val="fr-SN"/>
        </w:rPr>
        <w:t>Introduction de partie</w:t>
      </w:r>
    </w:p>
    <w:p w14:paraId="0DC4C614" w14:textId="4D94C63F" w:rsidR="004231D2" w:rsidRDefault="007345BF" w:rsidP="007345BF">
      <w:pPr>
        <w:pStyle w:val="Heading1"/>
        <w:numPr>
          <w:ilvl w:val="0"/>
          <w:numId w:val="2"/>
        </w:numPr>
        <w:rPr>
          <w:lang w:val="fr-SN"/>
        </w:rPr>
      </w:pPr>
      <w:r>
        <w:rPr>
          <w:lang w:val="fr-SN"/>
        </w:rPr>
        <w:t>Les états financiers</w:t>
      </w:r>
    </w:p>
    <w:p w14:paraId="5F864743" w14:textId="5639A37D" w:rsidR="001C5136" w:rsidRDefault="001C5136" w:rsidP="001C5136">
      <w:pPr>
        <w:pStyle w:val="Heading2"/>
        <w:numPr>
          <w:ilvl w:val="1"/>
          <w:numId w:val="2"/>
        </w:numPr>
        <w:rPr>
          <w:lang w:val="fr-SN"/>
        </w:rPr>
      </w:pPr>
      <w:r>
        <w:rPr>
          <w:lang w:val="fr-SN"/>
        </w:rPr>
        <w:t>Le bilan</w:t>
      </w:r>
    </w:p>
    <w:p w14:paraId="7C41CB0C" w14:textId="6F704ABE" w:rsidR="001C5136" w:rsidRDefault="001C5136" w:rsidP="001C5136">
      <w:pPr>
        <w:pStyle w:val="Heading2"/>
        <w:numPr>
          <w:ilvl w:val="1"/>
          <w:numId w:val="2"/>
        </w:numPr>
        <w:rPr>
          <w:lang w:val="fr-SN"/>
        </w:rPr>
      </w:pPr>
      <w:r>
        <w:rPr>
          <w:lang w:val="fr-SN"/>
        </w:rPr>
        <w:t>Le compte de résultat</w:t>
      </w:r>
    </w:p>
    <w:p w14:paraId="7B19D9B0" w14:textId="4224E274" w:rsidR="001C5136" w:rsidRPr="001C5136" w:rsidRDefault="001C5136" w:rsidP="001C5136">
      <w:pPr>
        <w:pStyle w:val="Heading2"/>
        <w:numPr>
          <w:ilvl w:val="1"/>
          <w:numId w:val="2"/>
        </w:numPr>
        <w:rPr>
          <w:lang w:val="fr-SN"/>
        </w:rPr>
      </w:pPr>
      <w:r>
        <w:rPr>
          <w:lang w:val="fr-SN"/>
        </w:rPr>
        <w:t>Les flux de trésorerie</w:t>
      </w:r>
    </w:p>
    <w:p w14:paraId="305CCE80" w14:textId="26930A6A" w:rsidR="007345BF" w:rsidRDefault="007345BF" w:rsidP="007345BF">
      <w:pPr>
        <w:pStyle w:val="Heading1"/>
        <w:numPr>
          <w:ilvl w:val="0"/>
          <w:numId w:val="2"/>
        </w:numPr>
        <w:rPr>
          <w:lang w:val="fr-SN"/>
        </w:rPr>
      </w:pPr>
      <w:r>
        <w:rPr>
          <w:lang w:val="fr-SN"/>
        </w:rPr>
        <w:t>Les soldes intermédiaires de gestion</w:t>
      </w:r>
    </w:p>
    <w:p w14:paraId="72035787" w14:textId="5EC6D8C3" w:rsidR="00E764AB" w:rsidRDefault="00E764AB" w:rsidP="00542F85">
      <w:pPr>
        <w:pStyle w:val="Heading2"/>
        <w:numPr>
          <w:ilvl w:val="1"/>
          <w:numId w:val="2"/>
        </w:numPr>
        <w:rPr>
          <w:lang w:val="fr-SN"/>
        </w:rPr>
      </w:pPr>
      <w:r>
        <w:rPr>
          <w:lang w:val="fr-SN"/>
        </w:rPr>
        <w:t>La marge commerciale</w:t>
      </w:r>
    </w:p>
    <w:p w14:paraId="0D76A73B" w14:textId="142A4B23" w:rsidR="00F841C5" w:rsidRPr="00F841C5" w:rsidRDefault="00F841C5" w:rsidP="00F841C5">
      <w:pPr>
        <w:pStyle w:val="Heading2"/>
        <w:numPr>
          <w:ilvl w:val="1"/>
          <w:numId w:val="2"/>
        </w:numPr>
        <w:rPr>
          <w:lang w:val="fr-SN"/>
        </w:rPr>
      </w:pPr>
      <w:r>
        <w:rPr>
          <w:lang w:val="fr-SN"/>
        </w:rPr>
        <w:t>Chiffre d’affaires</w:t>
      </w:r>
    </w:p>
    <w:p w14:paraId="25DB6452" w14:textId="3DCD47F4" w:rsidR="00E764AB" w:rsidRDefault="00E764AB" w:rsidP="00542F85">
      <w:pPr>
        <w:pStyle w:val="Heading2"/>
        <w:numPr>
          <w:ilvl w:val="1"/>
          <w:numId w:val="2"/>
        </w:numPr>
        <w:rPr>
          <w:lang w:val="fr-SN"/>
        </w:rPr>
      </w:pPr>
      <w:r>
        <w:rPr>
          <w:lang w:val="fr-SN"/>
        </w:rPr>
        <w:t xml:space="preserve">La valeur </w:t>
      </w:r>
      <w:r w:rsidR="00542F85">
        <w:rPr>
          <w:lang w:val="fr-SN"/>
        </w:rPr>
        <w:t>ajoutée</w:t>
      </w:r>
    </w:p>
    <w:p w14:paraId="0759AE37" w14:textId="2D9CAFA4" w:rsidR="00E764AB" w:rsidRDefault="00E764AB" w:rsidP="00542F85">
      <w:pPr>
        <w:pStyle w:val="Heading2"/>
        <w:numPr>
          <w:ilvl w:val="1"/>
          <w:numId w:val="2"/>
        </w:numPr>
        <w:rPr>
          <w:lang w:val="fr-SN"/>
        </w:rPr>
      </w:pPr>
      <w:r>
        <w:rPr>
          <w:lang w:val="fr-SN"/>
        </w:rPr>
        <w:t>L’</w:t>
      </w:r>
      <w:r w:rsidR="00542F85">
        <w:rPr>
          <w:lang w:val="fr-SN"/>
        </w:rPr>
        <w:t>excédent</w:t>
      </w:r>
      <w:r>
        <w:rPr>
          <w:lang w:val="fr-SN"/>
        </w:rPr>
        <w:t xml:space="preserve"> brut d’exploitation</w:t>
      </w:r>
    </w:p>
    <w:p w14:paraId="3D7FD747" w14:textId="5B35AE60" w:rsidR="00E764AB" w:rsidRDefault="00E764AB" w:rsidP="00542F85">
      <w:pPr>
        <w:pStyle w:val="Heading2"/>
        <w:numPr>
          <w:ilvl w:val="1"/>
          <w:numId w:val="2"/>
        </w:numPr>
        <w:rPr>
          <w:lang w:val="fr-SN"/>
        </w:rPr>
      </w:pPr>
      <w:r>
        <w:rPr>
          <w:lang w:val="fr-SN"/>
        </w:rPr>
        <w:t xml:space="preserve">Le </w:t>
      </w:r>
      <w:r w:rsidR="00542F85">
        <w:rPr>
          <w:lang w:val="fr-SN"/>
        </w:rPr>
        <w:t>résultat</w:t>
      </w:r>
      <w:r>
        <w:rPr>
          <w:lang w:val="fr-SN"/>
        </w:rPr>
        <w:t xml:space="preserve"> d’exploitation</w:t>
      </w:r>
    </w:p>
    <w:p w14:paraId="7384EE77" w14:textId="3116B2CC" w:rsidR="00E764AB" w:rsidRDefault="00E764AB" w:rsidP="00542F85">
      <w:pPr>
        <w:pStyle w:val="Heading2"/>
        <w:numPr>
          <w:ilvl w:val="1"/>
          <w:numId w:val="2"/>
        </w:numPr>
        <w:rPr>
          <w:lang w:val="fr-SN"/>
        </w:rPr>
      </w:pPr>
      <w:r>
        <w:rPr>
          <w:lang w:val="fr-SN"/>
        </w:rPr>
        <w:t xml:space="preserve">Le </w:t>
      </w:r>
      <w:r w:rsidR="00542F85">
        <w:rPr>
          <w:lang w:val="fr-SN"/>
        </w:rPr>
        <w:t>résultat</w:t>
      </w:r>
      <w:r>
        <w:rPr>
          <w:lang w:val="fr-SN"/>
        </w:rPr>
        <w:t xml:space="preserve"> </w:t>
      </w:r>
      <w:r w:rsidR="00133465">
        <w:rPr>
          <w:lang w:val="fr-SN"/>
        </w:rPr>
        <w:t>financier</w:t>
      </w:r>
    </w:p>
    <w:p w14:paraId="028F084A" w14:textId="7EF9B79F" w:rsidR="00542F85" w:rsidRDefault="00542F85" w:rsidP="00542F85">
      <w:pPr>
        <w:pStyle w:val="Heading2"/>
        <w:numPr>
          <w:ilvl w:val="1"/>
          <w:numId w:val="2"/>
        </w:numPr>
        <w:rPr>
          <w:lang w:val="fr-SN"/>
        </w:rPr>
      </w:pPr>
      <w:r>
        <w:rPr>
          <w:lang w:val="fr-SN"/>
        </w:rPr>
        <w:t>Le résultat exceptionnel</w:t>
      </w:r>
    </w:p>
    <w:p w14:paraId="5DA2A585" w14:textId="00543733" w:rsidR="00542F85" w:rsidRPr="00E764AB" w:rsidRDefault="00542F85" w:rsidP="00542F85">
      <w:pPr>
        <w:pStyle w:val="Heading2"/>
        <w:numPr>
          <w:ilvl w:val="1"/>
          <w:numId w:val="2"/>
        </w:numPr>
        <w:rPr>
          <w:lang w:val="fr-SN"/>
        </w:rPr>
      </w:pPr>
      <w:r>
        <w:rPr>
          <w:lang w:val="fr-SN"/>
        </w:rPr>
        <w:t>Le résultat net</w:t>
      </w:r>
    </w:p>
    <w:p w14:paraId="4235DB77" w14:textId="4E677321" w:rsidR="007345BF" w:rsidRDefault="007345BF" w:rsidP="007345BF">
      <w:pPr>
        <w:pStyle w:val="Heading1"/>
        <w:numPr>
          <w:ilvl w:val="0"/>
          <w:numId w:val="2"/>
        </w:numPr>
        <w:rPr>
          <w:lang w:val="fr-SN"/>
        </w:rPr>
      </w:pPr>
      <w:r>
        <w:rPr>
          <w:lang w:val="fr-SN"/>
        </w:rPr>
        <w:t>Les aspects de l’analyse financière</w:t>
      </w:r>
    </w:p>
    <w:p w14:paraId="71B89F90" w14:textId="6A8B666A" w:rsidR="00AE66C8" w:rsidRDefault="00AE66C8" w:rsidP="00AE66C8">
      <w:pPr>
        <w:pStyle w:val="Heading2"/>
        <w:numPr>
          <w:ilvl w:val="1"/>
          <w:numId w:val="2"/>
        </w:numPr>
        <w:rPr>
          <w:lang w:val="fr-SN"/>
        </w:rPr>
      </w:pPr>
      <w:r>
        <w:rPr>
          <w:lang w:val="fr-SN"/>
        </w:rPr>
        <w:t>Le tableau des soldes intermédiaire de gestion</w:t>
      </w:r>
    </w:p>
    <w:p w14:paraId="6947C016" w14:textId="0215E5BD" w:rsidR="00AE66C8" w:rsidRDefault="00AE66C8" w:rsidP="00AE66C8">
      <w:pPr>
        <w:pStyle w:val="Heading2"/>
        <w:numPr>
          <w:ilvl w:val="1"/>
          <w:numId w:val="2"/>
        </w:numPr>
        <w:rPr>
          <w:lang w:val="fr-SN"/>
        </w:rPr>
      </w:pPr>
      <w:r>
        <w:rPr>
          <w:lang w:val="fr-SN"/>
        </w:rPr>
        <w:t>L’analyse de rentabilité</w:t>
      </w:r>
    </w:p>
    <w:p w14:paraId="3CDEC6C7" w14:textId="0EED628B" w:rsidR="00AE66C8" w:rsidRPr="00AE66C8" w:rsidRDefault="00AE66C8" w:rsidP="00AE66C8">
      <w:pPr>
        <w:pStyle w:val="Heading2"/>
        <w:numPr>
          <w:ilvl w:val="1"/>
          <w:numId w:val="2"/>
        </w:numPr>
        <w:rPr>
          <w:lang w:val="fr-SN"/>
        </w:rPr>
      </w:pPr>
      <w:r>
        <w:rPr>
          <w:lang w:val="fr-SN"/>
        </w:rPr>
        <w:t>L’analyse du risque</w:t>
      </w:r>
    </w:p>
    <w:p w14:paraId="4D47C87A" w14:textId="172CA6E8" w:rsidR="004231D2" w:rsidRPr="004231D2" w:rsidRDefault="004231D2" w:rsidP="004231D2">
      <w:pPr>
        <w:pStyle w:val="Heading1"/>
        <w:rPr>
          <w:lang w:val="fr-SN"/>
        </w:rPr>
      </w:pPr>
      <w:r>
        <w:rPr>
          <w:lang w:val="fr-SN"/>
        </w:rPr>
        <w:t>Conclusion partielle</w:t>
      </w:r>
    </w:p>
    <w:sectPr w:rsidR="004231D2" w:rsidRPr="0042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1672"/>
    <w:multiLevelType w:val="hybridMultilevel"/>
    <w:tmpl w:val="BD026A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681E"/>
    <w:multiLevelType w:val="multilevel"/>
    <w:tmpl w:val="C1CC2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B6"/>
    <w:rsid w:val="00035079"/>
    <w:rsid w:val="00133465"/>
    <w:rsid w:val="001C5136"/>
    <w:rsid w:val="004231D2"/>
    <w:rsid w:val="00542F85"/>
    <w:rsid w:val="007345BF"/>
    <w:rsid w:val="00AE66C8"/>
    <w:rsid w:val="00BE2BE8"/>
    <w:rsid w:val="00E37EF3"/>
    <w:rsid w:val="00E764AB"/>
    <w:rsid w:val="00F74CB6"/>
    <w:rsid w:val="00F8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BEC7"/>
  <w15:chartTrackingRefBased/>
  <w15:docId w15:val="{18F091FB-9DD8-4402-AC0D-6B105337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1D2"/>
    <w:pPr>
      <w:keepNext/>
      <w:keepLines/>
      <w:spacing w:before="240" w:after="0"/>
      <w:outlineLvl w:val="0"/>
    </w:pPr>
    <w:rPr>
      <w:rFonts w:eastAsiaTheme="majorEastAsia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1D2"/>
    <w:pPr>
      <w:keepNext/>
      <w:keepLines/>
      <w:spacing w:before="40" w:after="0"/>
      <w:outlineLvl w:val="1"/>
    </w:pPr>
    <w:rPr>
      <w:rFonts w:eastAsiaTheme="majorEastAsia" w:cstheme="majorBidi"/>
      <w:color w:val="C45911" w:themeColor="accent2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1D2"/>
    <w:rPr>
      <w:rFonts w:eastAsiaTheme="majorEastAsia" w:cstheme="majorBidi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1D2"/>
    <w:rPr>
      <w:rFonts w:eastAsiaTheme="majorEastAsia" w:cstheme="majorBidi"/>
      <w:color w:val="C45911" w:themeColor="accent2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73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11</cp:revision>
  <dcterms:created xsi:type="dcterms:W3CDTF">2024-01-22T22:42:00Z</dcterms:created>
  <dcterms:modified xsi:type="dcterms:W3CDTF">2024-01-22T23:02:00Z</dcterms:modified>
</cp:coreProperties>
</file>