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color w:val="1A2744"/>
          <w:sz w:val="72"/>
          <w:szCs w:val="72"/>
        </w:rPr>
        <w:t xml:space="preserve">APDL</w:t>
      </w:r>
    </w:p>
    <w:p>
      <w:pPr>
        <w:spacing w:before="200"/>
        <w:jc w:val="center"/>
      </w:pPr>
      <w:r>
        <w:rPr>
          <w:rFonts w:ascii="Calibri" w:cs="Calibri" w:eastAsia="Calibri" w:hAnsi="Calibri"/>
          <w:color w:val="065A82"/>
          <w:sz w:val="28"/>
          <w:szCs w:val="28"/>
        </w:rPr>
        <w:t xml:space="preserve">Autonomous Product Development Loop</w:t>
      </w:r>
    </w:p>
    <w:p>
      <w:pPr>
        <w:pBdr>
          <w:top w:val="single" w:color="E8553D" w:sz="6" w:space="20"/>
        </w:pBdr>
        <w:spacing w:before="600"/>
        <w:jc w:val="center"/>
      </w:pPr>
    </w:p>
    <w:p>
      <w:pPr>
        <w:spacing w:before="200"/>
        <w:jc w:val="center"/>
      </w:pPr>
      <w:r>
        <w:rPr>
          <w:rFonts w:ascii="Calibri" w:cs="Calibri" w:eastAsia="Calibri" w:hAnsi="Calibri"/>
          <w:b/>
          <w:bCs/>
          <w:color w:val="1A2744"/>
          <w:sz w:val="26"/>
          <w:szCs w:val="26"/>
        </w:rPr>
        <w:t xml:space="preserve">Integration &amp; Usage Guide for Partner Companies</w:t>
      </w:r>
    </w:p>
    <w:p>
      <w:pPr>
        <w:spacing w:before="400"/>
        <w:jc w:val="center"/>
      </w:pPr>
      <w:r>
        <w:rPr>
          <w:rFonts w:ascii="Calibri" w:cs="Calibri" w:eastAsia="Calibri" w:hAnsi="Calibri"/>
          <w:color w:val="6B7280"/>
          <w:sz w:val="22"/>
          <w:szCs w:val="22"/>
        </w:rPr>
        <w:t xml:space="preserve">How to integrate APDL into your product to unlock autonomous analytics,
experimentation, and personalization.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200"/>
      </w:pPr>
      <w:r>
        <w:t xml:space="preserve">APDL (Autonomous Product Development Loop) is a self-optimizing product analytics and experimentation platform. It provides everything product teams need to understand user behavior, run statistically rigorous experiments, and deploy AI-driven personalization — all from a single SDK integration.</w:t>
      </w:r>
    </w:p>
    <w:p>
      <w:pPr>
        <w:spacing w:after="200"/>
      </w:pPr>
      <w:r>
        <w:t xml:space="preserve">This guide walks you through how to integrate APDL into your application, what capabilities it unlocks, and how to get the most value from the platform across different industries and use cases.</w:t>
      </w:r>
    </w:p>
    <w:p>
      <w:pPr>
        <w:pStyle w:val="Heading1"/>
      </w:pPr>
      <w:r>
        <w:t xml:space="preserve">What APDL Provides</w:t>
      </w:r>
    </w:p>
    <w:p>
      <w:pPr>
        <w:spacing w:after="200"/>
      </w:pPr>
      <w:r>
        <w:t xml:space="preserve">APDL replaces the fragmented stack of analytics, feature flags, A/B testing, and personalization tools with a single, integrated platform. Here is what each layer delivers:</w:t>
      </w:r>
    </w:p>
    <w:p>
      <w:pPr>
        <w:pStyle w:val="Heading2"/>
      </w:pPr>
      <w:r>
        <w:t xml:space="preserve">Event Ingestion &amp; Analytics</w:t>
      </w:r>
    </w:p>
    <w:p>
      <w:pPr>
        <w:spacing w:after="120"/>
      </w:pPr>
      <w:r>
        <w:t xml:space="preserve">The Ingestion Service accepts user behavior events over a simple REST API. Events flow through Redis Streams into ClickHouse, where they are stored in columnar format optimized for analytical queries. The pipeline handles batch writes of up to 1,000 events every 5 seconds, ensuring high throughput without sacrificing data integrity.</w:t>
      </w:r>
    </w:p>
    <w:p>
      <w:pPr>
        <w:spacing w:after="120"/>
      </w:pPr>
      <w:r>
        <w:t xml:space="preserve">The Query Service then powers funnel analysis, retention cohorts, event counts, time-series trends, and property-based segmentation — all directly against ClickHouse’s fast analytical engine.</w:t>
      </w:r>
    </w:p>
    <w:p>
      <w:pPr>
        <w:pStyle w:val="Heading2"/>
      </w:pPr>
      <w:r>
        <w:t xml:space="preserve">Feature Flags &amp; Experimentation</w:t>
      </w:r>
    </w:p>
    <w:p>
      <w:pPr>
        <w:spacing w:after="120"/>
      </w:pPr>
      <w:r>
        <w:t xml:space="preserve">Feature flags are evaluated entirely client-side using MurmurHash3 deterministic bucketing, meaning zero server round-trips and zero added latency. The Config Service stores flag definitions in PostgreSQL, caches them in Redis, and pushes updates in real-time via Server-Sent Events (SSE). The SDK receives configuration instantly and evaluates flags locally.</w:t>
      </w:r>
    </w:p>
    <w:p>
      <w:pPr>
        <w:spacing w:after="120"/>
      </w:pPr>
      <w:r>
        <w:t xml:space="preserve">For A/B testing, APDL supports three statistical methods: Welch’s t-test (frequentist), Beta-Binomial Bayesian analysis with Monte Carlo simulation, and mixture Sequential Probability Ratio Tests (mSPRT) for safe peeking. Additionally, CUPED variance reduction allows smaller sample sizes and faster results without bias.</w:t>
      </w:r>
    </w:p>
    <w:p>
      <w:pPr>
        <w:pStyle w:val="Heading2"/>
      </w:pPr>
      <w:r>
        <w:t xml:space="preserve">Autonomous AI Agents</w:t>
      </w:r>
    </w:p>
    <w:p>
      <w:pPr>
        <w:spacing w:after="120"/>
      </w:pPr>
      <w:r>
        <w:t xml:space="preserve">This is where APDL goes beyond traditional tools. Four LangGraph-powered AI agents operate in sequence: the Behavior Analysis agent queries your data for patterns and anomalies; the Experiment Design agent proposes hypotheses and deploys A/B tests; the Personalization agent generates targeted UI configurations per user segment; and the Feature Proposal agent recommends new product features with impact estimates.</w:t>
      </w:r>
    </w:p>
    <w:p>
      <w:pPr>
        <w:spacing w:after="120"/>
      </w:pPr>
      <w:r>
        <w:t xml:space="preserve">All agent actions pass through safety validation with configurable autonomy levels (L1 through L4), from suggestion-only to full autonomy. Every decision is logged in an audit trail with timestamps and reasoning.</w:t>
      </w:r>
    </w:p>
    <w:p>
      <w:pPr>
        <w:pStyle w:val="Heading2"/>
      </w:pPr>
      <w:r>
        <w:t xml:space="preserve">Server-Driven UI Components</w:t>
      </w:r>
    </w:p>
    <w:p>
      <w:pPr>
        <w:spacing w:after="120"/>
      </w:pPr>
      <w:r>
        <w:t xml:space="preserve">The SDK includes six production-ready UI components — Banner, Modal, Toast, Card, CTA Button, and Inline Message — that render into designated slots in your application. Components are configured server-side (by agents or manually) and pushed to the SDK in real-time. Every interaction (render, click, dismiss) is automatically tracked as an event, closing the analytics loop.</w:t>
      </w:r>
    </w:p>
    <w:p>
      <w:r>
        <w:br w:type="page"/>
      </w:r>
    </w:p>
    <w:p>
      <w:pPr>
        <w:pStyle w:val="Heading1"/>
      </w:pPr>
      <w:r>
        <w:t xml:space="preserve">Integration Guide</w:t>
      </w:r>
    </w:p>
    <w:p>
      <w:pPr>
        <w:pStyle w:val="Heading2"/>
      </w:pPr>
      <w:r>
        <w:t xml:space="preserve">Step 1: Install the SDK</w:t>
      </w:r>
    </w:p>
    <w:p>
      <w:pPr>
        <w:spacing w:after="120"/>
      </w:pPr>
      <w:r>
        <w:t xml:space="preserve">APDL’s JavaScript SDK is distributed as an npm package and supports ESM, CommonJS, and IIFE (browser global) formats. Install it in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r>
              <w:rPr>
                <w:rFonts w:ascii="Consolas" w:cs="Consolas" w:eastAsia="Consolas" w:hAnsi="Consolas"/>
                <w:color w:val="00D4AA"/>
                <w:sz w:val="20"/>
                <w:szCs w:val="20"/>
              </w:rPr>
              <w:t xml:space="preserve">npm install @apdl/sdk</w:t>
            </w:r>
          </w:p>
        </w:tc>
      </w:tr>
    </w:tbl>
    <w:p>
      <w:pPr>
        <w:spacing w:after="120" w:before="200"/>
      </w:pPr>
      <w:r>
        <w:t xml:space="preserve">Then initialize in your application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r>
              <w:rPr>
                <w:rFonts w:ascii="Consolas" w:cs="Consolas" w:eastAsia="Consolas" w:hAnsi="Consolas"/>
                <w:color w:val="00D4AA"/>
                <w:sz w:val="20"/>
                <w:szCs w:val="20"/>
              </w:rPr>
              <w:t xml:space="preserve">import APDL from "@apdl/sdk";</w:t>
            </w:r>
          </w:p>
          <w:p>
            <w:r>
              <w:rPr>
                <w:rFonts w:ascii="Consolas" w:cs="Consolas" w:eastAsia="Consolas" w:hAnsi="Consolas"/>
                <w:color w:val="FFFFFF"/>
                <w:sz w:val="20"/>
                <w:szCs w:val="20"/>
              </w:rPr>
              <w:t xml:space="preserve"/>
            </w:r>
          </w:p>
          <w:p>
            <w:r>
              <w:rPr>
                <w:rFonts w:ascii="Consolas" w:cs="Consolas" w:eastAsia="Consolas" w:hAnsi="Consolas"/>
                <w:color w:val="FFFFFF"/>
                <w:sz w:val="20"/>
                <w:szCs w:val="20"/>
              </w:rPr>
              <w:t xml:space="preserve">const client = APDL.init({</w:t>
            </w:r>
          </w:p>
          <w:p>
            <w:r>
              <w:rPr>
                <w:rFonts w:ascii="Consolas" w:cs="Consolas" w:eastAsia="Consolas" w:hAnsi="Consolas"/>
                <w:color w:val="F9B234"/>
                <w:sz w:val="20"/>
                <w:szCs w:val="20"/>
              </w:rPr>
              <w:t xml:space="preserve">  apiKey: "proj_YOUR_PROJECT_KEY",</w:t>
            </w:r>
          </w:p>
          <w:p>
            <w:r>
              <w:rPr>
                <w:rFonts w:ascii="Consolas" w:cs="Consolas" w:eastAsia="Consolas" w:hAnsi="Consolas"/>
                <w:color w:val="F9B234"/>
                <w:sz w:val="20"/>
                <w:szCs w:val="20"/>
              </w:rPr>
              <w:t xml:space="preserve">  host: "https://ingest.your-domain.com"</w:t>
            </w:r>
          </w:p>
          <w:p>
            <w:r>
              <w:rPr>
                <w:rFonts w:ascii="Consolas" w:cs="Consolas" w:eastAsia="Consolas" w:hAnsi="Consolas"/>
                <w:color w:val="FFFFFF"/>
                <w:sz w:val="20"/>
                <w:szCs w:val="20"/>
              </w:rPr>
              <w:t xml:space="preserve">});</w:t>
            </w:r>
          </w:p>
        </w:tc>
      </w:tr>
    </w:tbl>
    <w:p>
      <w:pPr>
        <w:pStyle w:val="Heading2"/>
        <w:spacing w:before="300"/>
      </w:pPr>
      <w:r>
        <w:t xml:space="preserve">Step 2: Track Events</w:t>
      </w:r>
    </w:p>
    <w:p>
      <w:pPr>
        <w:spacing w:after="120"/>
      </w:pPr>
      <w:r>
        <w:t xml:space="preserve">Once initialized, the SDK auto-captures page views. Use the track method for custom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r>
              <w:rPr>
                <w:rFonts w:ascii="Consolas" w:cs="Consolas" w:eastAsia="Consolas" w:hAnsi="Consolas"/>
                <w:color w:val="FFFFFF"/>
                <w:sz w:val="20"/>
                <w:szCs w:val="20"/>
              </w:rPr>
              <w:t xml:space="preserve">client.track("purchase", { amount: 49.99, currency: "USD" });</w:t>
            </w:r>
          </w:p>
          <w:p>
            <w:r>
              <w:rPr>
                <w:rFonts w:ascii="Consolas" w:cs="Consolas" w:eastAsia="Consolas" w:hAnsi="Consolas"/>
                <w:color w:val="FFFFFF"/>
                <w:sz w:val="20"/>
                <w:szCs w:val="20"/>
              </w:rPr>
              <w:t xml:space="preserve">client.identify("user_123", { plan: "pro", company: "Acme" });</w:t>
            </w:r>
          </w:p>
          <w:p>
            <w:r>
              <w:rPr>
                <w:rFonts w:ascii="Consolas" w:cs="Consolas" w:eastAsia="Consolas" w:hAnsi="Consolas"/>
                <w:color w:val="FFFFFF"/>
                <w:sz w:val="20"/>
                <w:szCs w:val="20"/>
              </w:rPr>
              <w:t xml:space="preserve">client.page("Pricing");</w:t>
            </w:r>
          </w:p>
        </w:tc>
      </w:tr>
    </w:tbl>
    <w:p>
      <w:pPr>
        <w:pStyle w:val="Heading2"/>
        <w:spacing w:before="300"/>
      </w:pPr>
      <w:r>
        <w:t xml:space="preserve">Step 3: Use Feature Flags</w:t>
      </w:r>
    </w:p>
    <w:p>
      <w:pPr>
        <w:spacing w:after="120"/>
      </w:pPr>
      <w:r>
        <w:t xml:space="preserve">Evaluate flags client-side with zero latency. Flags update in real-time via SSE — no polling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r>
              <w:rPr>
                <w:rFonts w:ascii="Consolas" w:cs="Consolas" w:eastAsia="Consolas" w:hAnsi="Consolas"/>
                <w:color w:val="6B7280"/>
                <w:sz w:val="20"/>
                <w:szCs w:val="20"/>
              </w:rPr>
              <w:t xml:space="preserve">// Boolean flag check</w:t>
            </w:r>
          </w:p>
          <w:p>
            <w:r>
              <w:rPr>
                <w:rFonts w:ascii="Consolas" w:cs="Consolas" w:eastAsia="Consolas" w:hAnsi="Consolas"/>
                <w:color w:val="FFFFFF"/>
                <w:sz w:val="20"/>
                <w:szCs w:val="20"/>
              </w:rPr>
              <w:t xml:space="preserve">if (client.flag("new-checkout")) {</w:t>
            </w:r>
          </w:p>
          <w:p>
            <w:r>
              <w:rPr>
                <w:rFonts w:ascii="Consolas" w:cs="Consolas" w:eastAsia="Consolas" w:hAnsi="Consolas"/>
                <w:color w:val="FFFFFF"/>
                <w:sz w:val="20"/>
                <w:szCs w:val="20"/>
              </w:rPr>
              <w:t xml:space="preserve">  renderNewCheckout();</w:t>
            </w:r>
          </w:p>
          <w:p>
            <w:r>
              <w:rPr>
                <w:rFonts w:ascii="Consolas" w:cs="Consolas" w:eastAsia="Consolas" w:hAnsi="Consolas"/>
                <w:color w:val="FFFFFF"/>
                <w:sz w:val="20"/>
                <w:szCs w:val="20"/>
              </w:rPr>
              <w:t xml:space="preserve">}</w:t>
            </w:r>
          </w:p>
          <w:p>
            <w:r>
              <w:rPr>
                <w:rFonts w:ascii="Consolas" w:cs="Consolas" w:eastAsia="Consolas" w:hAnsi="Consolas"/>
                <w:sz w:val="20"/>
                <w:szCs w:val="20"/>
              </w:rPr>
              <w:t xml:space="preserve"/>
            </w:r>
          </w:p>
          <w:p>
            <w:r>
              <w:rPr>
                <w:rFonts w:ascii="Consolas" w:cs="Consolas" w:eastAsia="Consolas" w:hAnsi="Consolas"/>
                <w:color w:val="6B7280"/>
                <w:sz w:val="20"/>
                <w:szCs w:val="20"/>
              </w:rPr>
              <w:t xml:space="preserve">// Get experiment variant</w:t>
            </w:r>
          </w:p>
          <w:p>
            <w:r>
              <w:rPr>
                <w:rFonts w:ascii="Consolas" w:cs="Consolas" w:eastAsia="Consolas" w:hAnsi="Consolas"/>
                <w:color w:val="FFFFFF"/>
                <w:sz w:val="20"/>
                <w:szCs w:val="20"/>
              </w:rPr>
              <w:t xml:space="preserve">const variant = client.experiment("pricing-test");</w:t>
            </w:r>
          </w:p>
          <w:p>
            <w:r>
              <w:rPr>
                <w:rFonts w:ascii="Consolas" w:cs="Consolas" w:eastAsia="Consolas" w:hAnsi="Consolas"/>
                <w:sz w:val="20"/>
                <w:szCs w:val="20"/>
              </w:rPr>
              <w:t xml:space="preserve"/>
            </w:r>
          </w:p>
          <w:p>
            <w:r>
              <w:rPr>
                <w:rFonts w:ascii="Consolas" w:cs="Consolas" w:eastAsia="Consolas" w:hAnsi="Consolas"/>
                <w:color w:val="6B7280"/>
                <w:sz w:val="20"/>
                <w:szCs w:val="20"/>
              </w:rPr>
              <w:t xml:space="preserve">// React to flag changes in real-time</w:t>
            </w:r>
          </w:p>
          <w:p>
            <w:r>
              <w:rPr>
                <w:rFonts w:ascii="Consolas" w:cs="Consolas" w:eastAsia="Consolas" w:hAnsi="Consolas"/>
                <w:color w:val="FFFFFF"/>
                <w:sz w:val="20"/>
                <w:szCs w:val="20"/>
              </w:rPr>
              <w:t xml:space="preserve">client.onFlagChange("promo-banner", (val) =&gt; toggleBanner(val));</w:t>
            </w:r>
          </w:p>
        </w:tc>
      </w:tr>
    </w:tbl>
    <w:p>
      <w:pPr>
        <w:pStyle w:val="Heading2"/>
        <w:spacing w:before="300"/>
      </w:pPr>
      <w:r>
        <w:t xml:space="preserve">Step 4: Add UI Component Slots</w:t>
      </w:r>
    </w:p>
    <w:p>
      <w:pPr>
        <w:spacing w:after="120"/>
      </w:pPr>
      <w:r>
        <w:t xml:space="preserve">Place data-apdl-slot attributes in your HTML where you want personalized components to appear. The SDK’s SlotManager discovers these and renders server-configured components into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200"/>
              <w:bottom w:type="dxa" w:w="120"/>
              <w:right w:type="dxa" w:w="200"/>
            </w:tcMar>
          </w:tcPr>
          <w:p>
            <w:r>
              <w:rPr>
                <w:rFonts w:ascii="Consolas" w:cs="Consolas" w:eastAsia="Consolas" w:hAnsi="Consolas"/>
                <w:color w:val="6B7280"/>
                <w:sz w:val="20"/>
                <w:szCs w:val="20"/>
              </w:rPr>
              <w:t xml:space="preserve">&lt;!-- In your HTML --&gt;</w:t>
            </w:r>
          </w:p>
          <w:p>
            <w:r>
              <w:rPr>
                <w:rFonts w:ascii="Consolas" w:cs="Consolas" w:eastAsia="Consolas" w:hAnsi="Consolas"/>
                <w:color w:val="FFFFFF"/>
                <w:sz w:val="20"/>
                <w:szCs w:val="20"/>
              </w:rPr>
              <w:t xml:space="preserve">&lt;div data-apdl-slot="hero-banner"&gt;&lt;/div&gt;</w:t>
            </w:r>
          </w:p>
          <w:p>
            <w:r>
              <w:rPr>
                <w:rFonts w:ascii="Consolas" w:cs="Consolas" w:eastAsia="Consolas" w:hAnsi="Consolas"/>
                <w:color w:val="FFFFFF"/>
                <w:sz w:val="20"/>
                <w:szCs w:val="20"/>
              </w:rPr>
              <w:t xml:space="preserve">&lt;div data-apdl-slot="promo-modal"&gt;&lt;/div&gt;</w:t>
            </w:r>
          </w:p>
          <w:p>
            <w:r>
              <w:rPr>
                <w:rFonts w:ascii="Consolas" w:cs="Consolas" w:eastAsia="Consolas" w:hAnsi="Consolas"/>
                <w:color w:val="FFFFFF"/>
                <w:sz w:val="20"/>
                <w:szCs w:val="20"/>
              </w:rPr>
              <w:t xml:space="preserve">&lt;div data-apdl-slot="checkout-cta"&gt;&lt;/div&gt;</w:t>
            </w:r>
          </w:p>
        </w:tc>
      </w:tr>
    </w:tbl>
    <w:p>
      <w:pPr>
        <w:pStyle w:val="Heading2"/>
        <w:spacing w:before="300"/>
      </w:pPr>
      <w:r>
        <w:t xml:space="preserve">Step 5: Enable Autonomous Agents</w:t>
      </w:r>
    </w:p>
    <w:p>
      <w:pPr>
        <w:spacing w:after="200"/>
      </w:pPr>
      <w:r>
        <w:t xml:space="preserve">Trigger agent runs via the Agents Service API. You can schedule these on a cron, trigger them manually, or configure threshold alerts. Choose your autonomy level based on your risk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BD5E1" w:sz="1"/>
              <w:left w:val="single" w:color="CBD5E1" w:sz="1"/>
              <w:bottom w:val="single" w:color="CBD5E1" w:sz="1"/>
              <w:right w:val="single" w:color="CBD5E1" w:sz="1"/>
            </w:tcBorders>
            <w:shd w:fill="1A2744"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Level</w:t>
            </w:r>
          </w:p>
        </w:tc>
        <w:tc>
          <w:tcPr>
            <w:tcW w:type="dxa" w:w="2600"/>
            <w:tcBorders>
              <w:top w:val="single" w:color="CBD5E1" w:sz="1"/>
              <w:left w:val="single" w:color="CBD5E1" w:sz="1"/>
              <w:bottom w:val="single" w:color="CBD5E1" w:sz="1"/>
              <w:right w:val="single" w:color="CBD5E1" w:sz="1"/>
            </w:tcBorders>
            <w:shd w:fill="1A2744"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Mode</w:t>
            </w:r>
          </w:p>
        </w:tc>
        <w:tc>
          <w:tcPr>
            <w:tcW w:type="dxa" w:w="5360"/>
            <w:tcBorders>
              <w:top w:val="single" w:color="CBD5E1" w:sz="1"/>
              <w:left w:val="single" w:color="CBD5E1" w:sz="1"/>
              <w:bottom w:val="single" w:color="CBD5E1" w:sz="1"/>
              <w:right w:val="single" w:color="CBD5E1" w:sz="1"/>
            </w:tcBorders>
            <w:shd w:fill="1A2744"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Behavior</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065A82"/>
                <w:sz w:val="22"/>
                <w:szCs w:val="22"/>
              </w:rPr>
              <w:t xml:space="preserve">L1</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Suggest Only</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Agents analyze and recommend. Nothing is deployed without manual action.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065A82"/>
                <w:sz w:val="22"/>
                <w:szCs w:val="22"/>
              </w:rPr>
              <w:t xml:space="preserve">L2</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Auto Low-Risk</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Low-risk changes deploy automatically. Medium/high-risk require approval.</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065A82"/>
                <w:sz w:val="22"/>
                <w:szCs w:val="22"/>
              </w:rPr>
              <w:t xml:space="preserve">L3</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Auto Most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Most changes deploy automatically. Only high-risk changes require approval.</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065A82"/>
                <w:sz w:val="22"/>
                <w:szCs w:val="22"/>
              </w:rPr>
              <w:t xml:space="preserve">L4</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Full Autonomy</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All actions deploy automatically. Full audit logging and rollback support.</w:t>
            </w:r>
          </w:p>
        </w:tc>
      </w:tr>
    </w:tbl>
    <w:p>
      <w:r>
        <w:br w:type="page"/>
      </w:r>
    </w:p>
    <w:p>
      <w:pPr>
        <w:pStyle w:val="Heading1"/>
      </w:pPr>
      <w:r>
        <w:t xml:space="preserve">Industry Use Cases</w:t>
      </w:r>
    </w:p>
    <w:p>
      <w:pPr>
        <w:spacing w:after="200"/>
      </w:pPr>
      <w:r>
        <w:t xml:space="preserve">APDL is designed to work across any product that has a web-based user interface. Here are specific ways different industries can leverage the platform:</w:t>
      </w:r>
    </w:p>
    <w:p>
      <w:pPr>
        <w:pStyle w:val="Heading2"/>
      </w:pPr>
      <w:r>
        <w:t xml:space="preserve">SaaS Products</w:t>
      </w:r>
    </w:p>
    <w:p>
      <w:pPr>
        <w:spacing w:after="120"/>
      </w:pPr>
      <w:r>
        <w:t xml:space="preserve">SaaS companies can use APDL to optimize every stage of the user journey. Track onboarding flow completion rates with funnel analysis, then let the Experiment Design agent propose A/B tests on onboarding steps that show high drop-off. Use feature flags to gradually roll out new features to specific customer tiers. The Personalization agent can deploy targeted upgrade prompts (via modal or banner components) to free-tier users showing high engagement patterns, maximizing trial-to-paid conversion.</w:t>
      </w:r>
    </w:p>
    <w:p>
      <w:pPr>
        <w:pStyle w:val="ListParagraph"/>
        <w:numPr>
          <w:ilvl w:val="0"/>
          <w:numId w:val="2"/>
        </w:numPr>
        <w:spacing w:after="120"/>
      </w:pPr>
      <w:r>
        <w:t xml:space="preserve">Onboarding flow optimization with funnel analysis and automated experiments</w:t>
      </w:r>
    </w:p>
    <w:p>
      <w:pPr>
        <w:pStyle w:val="ListParagraph"/>
        <w:numPr>
          <w:ilvl w:val="0"/>
          <w:numId w:val="2"/>
        </w:numPr>
        <w:spacing w:after="120"/>
      </w:pPr>
      <w:r>
        <w:t xml:space="preserve">Trial-to-paid conversion experiments with targeted upgrade prompts</w:t>
      </w:r>
    </w:p>
    <w:p>
      <w:pPr>
        <w:pStyle w:val="ListParagraph"/>
        <w:numPr>
          <w:ilvl w:val="0"/>
          <w:numId w:val="2"/>
        </w:numPr>
        <w:spacing w:after="120"/>
      </w:pPr>
      <w:r>
        <w:t xml:space="preserve">Feature adoption tracking and gradual rollout via feature flags</w:t>
      </w:r>
    </w:p>
    <w:p>
      <w:pPr>
        <w:pStyle w:val="ListParagraph"/>
        <w:numPr>
          <w:ilvl w:val="0"/>
          <w:numId w:val="2"/>
        </w:numPr>
        <w:spacing w:after="200"/>
      </w:pPr>
      <w:r>
        <w:t xml:space="preserve">Churn prediction signals from retention cohort analysis</w:t>
      </w:r>
    </w:p>
    <w:p>
      <w:pPr>
        <w:pStyle w:val="Heading2"/>
      </w:pPr>
      <w:r>
        <w:t xml:space="preserve">E-Commerce</w:t>
      </w:r>
    </w:p>
    <w:p>
      <w:pPr>
        <w:spacing w:after="120"/>
      </w:pPr>
      <w:r>
        <w:t xml:space="preserve">E-commerce platforms benefit from APDL’s ability to analyze purchase funnels and deploy real-time promotions. Track the full path from product view to checkout completion, identifying exactly where customers abandon. The agents can design price-sensitivity experiments, test different product recommendation algorithms, and deploy personalized promotional banners or toast notifications based on browsing behavior and purchase history.</w:t>
      </w:r>
    </w:p>
    <w:p>
      <w:pPr>
        <w:pStyle w:val="ListParagraph"/>
        <w:numPr>
          <w:ilvl w:val="0"/>
          <w:numId w:val="2"/>
        </w:numPr>
        <w:spacing w:after="120"/>
      </w:pPr>
      <w:r>
        <w:t xml:space="preserve">Checkout funnel optimization with step-by-step drop-off analysis</w:t>
      </w:r>
    </w:p>
    <w:p>
      <w:pPr>
        <w:pStyle w:val="ListParagraph"/>
        <w:numPr>
          <w:ilvl w:val="0"/>
          <w:numId w:val="2"/>
        </w:numPr>
        <w:spacing w:after="120"/>
      </w:pPr>
      <w:r>
        <w:t xml:space="preserve">Product recommendation A/B tests across user segments</w:t>
      </w:r>
    </w:p>
    <w:p>
      <w:pPr>
        <w:pStyle w:val="ListParagraph"/>
        <w:numPr>
          <w:ilvl w:val="0"/>
          <w:numId w:val="2"/>
        </w:numPr>
        <w:spacing w:after="120"/>
      </w:pPr>
      <w:r>
        <w:t xml:space="preserve">Dynamic promotional banners and toast notifications for cart abandonment</w:t>
      </w:r>
    </w:p>
    <w:p>
      <w:pPr>
        <w:pStyle w:val="ListParagraph"/>
        <w:numPr>
          <w:ilvl w:val="0"/>
          <w:numId w:val="2"/>
        </w:numPr>
        <w:spacing w:after="200"/>
      </w:pPr>
      <w:r>
        <w:t xml:space="preserve">Retention cohort tracking to measure repeat purchase rates</w:t>
      </w:r>
    </w:p>
    <w:p>
      <w:pPr>
        <w:pStyle w:val="Heading2"/>
      </w:pPr>
      <w:r>
        <w:t xml:space="preserve">Media &amp; Content Platforms</w:t>
      </w:r>
    </w:p>
    <w:p>
      <w:pPr>
        <w:spacing w:after="120"/>
      </w:pPr>
      <w:r>
        <w:t xml:space="preserve">Content platforms can leverage APDL to understand engagement depth and optimize monetization. Track reading time, scroll depth, and content interaction events to build engagement funnels. Test paywall placement strategies with rigorous Bayesian analysis. Deploy personalized content recommendation cards and subscription upgrade modals to users whose engagement patterns indicate high conversion probability.</w:t>
      </w:r>
    </w:p>
    <w:p>
      <w:pPr>
        <w:pStyle w:val="ListParagraph"/>
        <w:numPr>
          <w:ilvl w:val="0"/>
          <w:numId w:val="2"/>
        </w:numPr>
        <w:spacing w:after="120"/>
      </w:pPr>
      <w:r>
        <w:t xml:space="preserve">Content engagement funnel analysis (view, read, share, subscribe)</w:t>
      </w:r>
    </w:p>
    <w:p>
      <w:pPr>
        <w:pStyle w:val="ListParagraph"/>
        <w:numPr>
          <w:ilvl w:val="0"/>
          <w:numId w:val="2"/>
        </w:numPr>
        <w:spacing w:after="120"/>
      </w:pPr>
      <w:r>
        <w:t xml:space="preserve">Paywall placement experiments with Bayesian statistical confidence</w:t>
      </w:r>
    </w:p>
    <w:p>
      <w:pPr>
        <w:pStyle w:val="ListParagraph"/>
        <w:numPr>
          <w:ilvl w:val="0"/>
          <w:numId w:val="2"/>
        </w:numPr>
        <w:spacing w:after="120"/>
      </w:pPr>
      <w:r>
        <w:t xml:space="preserve">Personalized content recommendation cards based on reading patterns</w:t>
      </w:r>
    </w:p>
    <w:p>
      <w:pPr>
        <w:pStyle w:val="ListParagraph"/>
        <w:numPr>
          <w:ilvl w:val="0"/>
          <w:numId w:val="2"/>
        </w:numPr>
        <w:spacing w:after="200"/>
      </w:pPr>
      <w:r>
        <w:t xml:space="preserve">Subscription conversion optimization with targeted modal components</w:t>
      </w:r>
    </w:p>
    <w:p>
      <w:r>
        <w:br w:type="page"/>
      </w:r>
    </w:p>
    <w:p>
      <w:pPr>
        <w:pStyle w:val="Heading1"/>
      </w:pPr>
      <w:r>
        <w:t xml:space="preserve">Architecture Overview</w:t>
      </w:r>
    </w:p>
    <w:p>
      <w:pPr>
        <w:spacing w:after="200"/>
      </w:pPr>
      <w:r>
        <w:t xml:space="preserve">APDL is a monorepo with four Python microservices, a data pipeline, and a TypeScript SDK. The services communicate through Redis Streams (event pipeline) and REST APIs (inter-service coordination). Here is the full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BD5E1" w:sz="1"/>
              <w:left w:val="single" w:color="CBD5E1" w:sz="1"/>
              <w:bottom w:val="single" w:color="CBD5E1" w:sz="1"/>
              <w:right w:val="single" w:color="CBD5E1" w:sz="1"/>
            </w:tcBorders>
            <w:shd w:fill="1A2744"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Service</w:t>
            </w:r>
          </w:p>
        </w:tc>
        <w:tc>
          <w:tcPr>
            <w:tcW w:type="dxa" w:w="1200"/>
            <w:tcBorders>
              <w:top w:val="single" w:color="CBD5E1" w:sz="1"/>
              <w:left w:val="single" w:color="CBD5E1" w:sz="1"/>
              <w:bottom w:val="single" w:color="CBD5E1" w:sz="1"/>
              <w:right w:val="single" w:color="CBD5E1" w:sz="1"/>
            </w:tcBorders>
            <w:shd w:fill="1A2744"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Port</w:t>
            </w:r>
          </w:p>
        </w:tc>
        <w:tc>
          <w:tcPr>
            <w:tcW w:type="dxa" w:w="6160"/>
            <w:tcBorders>
              <w:top w:val="single" w:color="CBD5E1" w:sz="1"/>
              <w:left w:val="single" w:color="CBD5E1" w:sz="1"/>
              <w:bottom w:val="single" w:color="CBD5E1" w:sz="1"/>
              <w:right w:val="single" w:color="CBD5E1" w:sz="1"/>
            </w:tcBorders>
            <w:shd w:fill="1A2744" w:val="clear"/>
            <w:tcMar>
              <w:top w:type="dxa" w:w="80"/>
              <w:left w:type="dxa" w:w="120"/>
              <w:bottom w:type="dxa" w:w="80"/>
              <w:right w:type="dxa" w:w="120"/>
            </w:tcMar>
          </w:tcPr>
          <w:p>
            <w:pPr>
              <w:jc w:val="left"/>
            </w:pPr>
            <w:r>
              <w:rPr>
                <w:rFonts w:ascii="Calibri" w:cs="Calibri" w:eastAsia="Calibri" w:hAnsi="Calibri"/>
                <w:b/>
                <w:bCs/>
                <w:color w:val="FFFFFF"/>
                <w:sz w:val="22"/>
                <w:szCs w:val="22"/>
              </w:rPr>
              <w:t xml:space="preserve">Purpose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SDK</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Client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TypeScript SDK with event tracking, flag evaluation, UI rendering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Ingestion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8080</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Receives events via POST /v1/events, validates, publishes to Redis Streams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Config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8081</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Stores and serves feature flags/experiments. Real-time updates via SSE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Query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8082</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ClickHouse analytics: funnels, retention, experiment statistics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Agents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8083</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LangGraph AI agents for analysis, experiments, personalization, proposals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b/>
                <w:bCs/>
                <w:color w:val="1F2937"/>
                <w:sz w:val="22"/>
                <w:szCs w:val="22"/>
              </w:rPr>
              <w:t xml:space="preserve">Pipeline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N/A</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Calibri" w:cs="Calibri" w:eastAsia="Calibri" w:hAnsi="Calibri"/>
                <w:color w:val="1F2937"/>
                <w:sz w:val="22"/>
                <w:szCs w:val="22"/>
              </w:rPr>
              <w:t xml:space="preserve">Redis Streams consumer that batch-writes events to ClickHouse</w:t>
            </w:r>
          </w:p>
        </w:tc>
      </w:tr>
    </w:tbl>
    <w:p>
      <w:pPr>
        <w:pStyle w:val="Heading2"/>
        <w:spacing w:before="300"/>
      </w:pPr>
      <w:r>
        <w:t xml:space="preserve">Infrastructure Requirements</w:t>
      </w:r>
    </w:p>
    <w:p>
      <w:pPr>
        <w:spacing w:after="200"/>
      </w:pPr>
      <w:r>
        <w:t xml:space="preserve">APDL requires three infrastructure dependencies, all provided via Docker Compose for local development: Redis 7 (event streaming and caching), ClickHouse 24.1 (analytical storage), and PostgreSQL 16 with pgvector (flag storage, agent memory). For production, these can run as managed services on any cloud provider.</w:t>
      </w:r>
    </w:p>
    <w:p>
      <w:r>
        <w:br w:type="page"/>
      </w:r>
    </w:p>
    <w:p>
      <w:pPr>
        <w:pStyle w:val="Heading1"/>
      </w:pPr>
      <w:r>
        <w:t xml:space="preserve">Key API Endpoints</w:t>
      </w:r>
    </w:p>
    <w:p>
      <w:pPr>
        <w:pStyle w:val="Heading2"/>
      </w:pPr>
      <w:r>
        <w:t xml:space="preserve">Event Ingestion</w:t>
      </w:r>
    </w:p>
    <w:p>
      <w:pPr>
        <w:spacing w:after="120"/>
      </w:pPr>
      <w:r>
        <w:rPr>
          <w:rFonts w:ascii="Consolas" w:cs="Consolas" w:eastAsia="Consolas" w:hAnsi="Consolas"/>
          <w:b/>
          <w:bCs/>
          <w:sz w:val="22"/>
          <w:szCs w:val="22"/>
        </w:rPr>
        <w:t xml:space="preserve">POST /v1/events</w:t>
      </w:r>
      <w:r>
        <w:t xml:space="preserve"> — Accepts a batch of events. Returns accepted/failed counts. Requires API key authentication in the format proj_{project_id}_{secret}. Rate-limited per project.</w:t>
      </w:r>
    </w:p>
    <w:p>
      <w:pPr>
        <w:pStyle w:val="Heading2"/>
      </w:pPr>
      <w:r>
        <w:t xml:space="preserve">Feature Flags</w:t>
      </w:r>
    </w:p>
    <w:p>
      <w:pPr>
        <w:spacing w:after="120"/>
      </w:pPr>
      <w:r>
        <w:rPr>
          <w:rFonts w:ascii="Consolas" w:cs="Consolas" w:eastAsia="Consolas" w:hAnsi="Consolas"/>
          <w:b/>
          <w:bCs/>
          <w:sz w:val="22"/>
          <w:szCs w:val="22"/>
        </w:rPr>
        <w:t xml:space="preserve">GET /v1/flags</w:t>
      </w:r>
      <w:r>
        <w:t xml:space="preserve"> — Returns all flags and experiment definitions for a project. Cached in Redis (60s TTL). </w:t>
      </w:r>
      <w:r>
        <w:rPr>
          <w:rFonts w:ascii="Consolas" w:cs="Consolas" w:eastAsia="Consolas" w:hAnsi="Consolas"/>
          <w:b/>
          <w:bCs/>
          <w:sz w:val="22"/>
          <w:szCs w:val="22"/>
        </w:rPr>
        <w:t xml:space="preserve">GET /v1/stream</w:t>
      </w:r>
      <w:r>
        <w:t xml:space="preserve"> — Opens an SSE connection for real-time flag updates. Heartbeat every 35 seconds.</w:t>
      </w:r>
    </w:p>
    <w:p>
      <w:pPr>
        <w:pStyle w:val="Heading2"/>
      </w:pPr>
      <w:r>
        <w:t xml:space="preserve">Query &amp; Analytics</w:t>
      </w:r>
    </w:p>
    <w:p>
      <w:pPr>
        <w:spacing w:after="120"/>
      </w:pPr>
      <w:r>
        <w:rPr>
          <w:rFonts w:ascii="Consolas" w:cs="Consolas" w:eastAsia="Consolas" w:hAnsi="Consolas"/>
          <w:b/>
          <w:bCs/>
          <w:sz w:val="22"/>
          <w:szCs w:val="22"/>
        </w:rPr>
        <w:t xml:space="preserve">GET /v1/query/experiment/{id}</w:t>
      </w:r>
      <w:r>
        <w:t xml:space="preserve"> — Returns experiment results with the chosen statistical method (frequentist, bayesian, or sequential). </w:t>
      </w:r>
      <w:r>
        <w:rPr>
          <w:rFonts w:ascii="Consolas" w:cs="Consolas" w:eastAsia="Consolas" w:hAnsi="Consolas"/>
          <w:b/>
          <w:bCs/>
          <w:sz w:val="22"/>
          <w:szCs w:val="22"/>
        </w:rPr>
        <w:t xml:space="preserve">POST /v1/query/funnel</w:t>
      </w:r>
      <w:r>
        <w:t xml:space="preserve"> — Multi-step conversion funnel analysis with drop-off rates.</w:t>
      </w:r>
    </w:p>
    <w:p>
      <w:pPr>
        <w:pStyle w:val="Heading2"/>
      </w:pPr>
      <w:r>
        <w:t xml:space="preserve">Autonomous Agents</w:t>
      </w:r>
    </w:p>
    <w:p>
      <w:pPr>
        <w:spacing w:after="200"/>
      </w:pPr>
      <w:r>
        <w:rPr>
          <w:rFonts w:ascii="Consolas" w:cs="Consolas" w:eastAsia="Consolas" w:hAnsi="Consolas"/>
          <w:b/>
          <w:bCs/>
          <w:sz w:val="22"/>
          <w:szCs w:val="22"/>
        </w:rPr>
        <w:t xml:space="preserve">POST /v1/agents/trigger</w:t>
      </w:r>
      <w:r>
        <w:t xml:space="preserve"> — Starts an autonomous agent run as a background task. Accepts project_id, trigger_type (scheduled, manual, or threshold_alert), analysis_types, time_range_days, and autonomy_level (1–4). Returns a run_id for tracking.</w:t>
      </w:r>
    </w:p>
    <w:p>
      <w:r>
        <w:br w:type="page"/>
      </w:r>
    </w:p>
    <w:p>
      <w:pPr>
        <w:pStyle w:val="Heading1"/>
      </w:pPr>
      <w:r>
        <w:t xml:space="preserve">Getting Started</w:t>
      </w:r>
    </w:p>
    <w:p>
      <w:pPr>
        <w:spacing w:after="200"/>
      </w:pPr>
      <w:r>
        <w:t xml:space="preserve">Follow these steps to set up APDL in your development environment and begin integrating:</w:t>
      </w:r>
    </w:p>
    <w:p>
      <w:pPr>
        <w:pStyle w:val="ListParagraph"/>
        <w:numPr>
          <w:ilvl w:val="0"/>
          <w:numId w:val="3"/>
        </w:numPr>
        <w:spacing w:after="120"/>
      </w:pPr>
      <w:r>
        <w:rPr>
          <w:b/>
          <w:bCs/>
        </w:rPr>
        <w:t xml:space="preserve">Clone the repository</w:t>
      </w:r>
      <w:r>
        <w:t xml:space="preserve"> and run make setup to configure local dependencies, create virtual environments, install npm packages, and apply database migrations.</w:t>
      </w:r>
    </w:p>
    <w:p>
      <w:pPr>
        <w:pStyle w:val="ListParagraph"/>
        <w:numPr>
          <w:ilvl w:val="0"/>
          <w:numId w:val="3"/>
        </w:numPr>
        <w:spacing w:after="120"/>
      </w:pPr>
      <w:r>
        <w:rPr>
          <w:b/>
          <w:bCs/>
        </w:rPr>
        <w:t xml:space="preserve">Start infrastructure</w:t>
      </w:r>
      <w:r>
        <w:t xml:space="preserve"> with make dev to launch Redis, ClickHouse, and PostgreSQL via Docker Compose.</w:t>
      </w:r>
    </w:p>
    <w:p>
      <w:pPr>
        <w:pStyle w:val="ListParagraph"/>
        <w:numPr>
          <w:ilvl w:val="0"/>
          <w:numId w:val="3"/>
        </w:numPr>
        <w:spacing w:after="120"/>
      </w:pPr>
      <w:r>
        <w:rPr>
          <w:b/>
          <w:bCs/>
        </w:rPr>
        <w:t xml:space="preserve">Apply ClickHouse migrations</w:t>
      </w:r>
      <w:r>
        <w:t xml:space="preserve"> with make migrate-clickhouse to create the event storage tables and materialized views.</w:t>
      </w:r>
    </w:p>
    <w:p>
      <w:pPr>
        <w:pStyle w:val="ListParagraph"/>
        <w:numPr>
          <w:ilvl w:val="0"/>
          <w:numId w:val="3"/>
        </w:numPr>
        <w:spacing w:after="120"/>
      </w:pPr>
      <w:r>
        <w:rPr>
          <w:b/>
          <w:bCs/>
        </w:rPr>
        <w:t xml:space="preserve">Start the services</w:t>
      </w:r>
      <w:r>
        <w:t xml:space="preserve"> individually (make run-ingestion, make run-config, etc.) or all at once with make dev-all.</w:t>
      </w:r>
    </w:p>
    <w:p>
      <w:pPr>
        <w:pStyle w:val="ListParagraph"/>
        <w:numPr>
          <w:ilvl w:val="0"/>
          <w:numId w:val="3"/>
        </w:numPr>
        <w:spacing w:after="120"/>
      </w:pPr>
      <w:r>
        <w:rPr>
          <w:b/>
          <w:bCs/>
        </w:rPr>
        <w:t xml:space="preserve">Install and build the SDK</w:t>
      </w:r>
      <w:r>
        <w:t xml:space="preserve"> by running make build from the repository root, then install @apdl/sdk in your application.</w:t>
      </w:r>
    </w:p>
    <w:p>
      <w:pPr>
        <w:pStyle w:val="ListParagraph"/>
        <w:numPr>
          <w:ilvl w:val="0"/>
          <w:numId w:val="3"/>
        </w:numPr>
        <w:spacing w:after="120"/>
      </w:pPr>
      <w:r>
        <w:rPr>
          <w:b/>
          <w:bCs/>
        </w:rPr>
        <w:t xml:space="preserve">Initialize the client</w:t>
      </w:r>
      <w:r>
        <w:t xml:space="preserve"> with your project API key and start tracking events. Verify events appear in ClickHouse within seconds.</w:t>
      </w:r>
    </w:p>
    <w:p>
      <w:pPr>
        <w:pStyle w:val="ListParagraph"/>
        <w:numPr>
          <w:ilvl w:val="0"/>
          <w:numId w:val="3"/>
        </w:numPr>
        <w:spacing w:after="200"/>
      </w:pPr>
      <w:r>
        <w:rPr>
          <w:b/>
          <w:bCs/>
        </w:rPr>
        <w:t xml:space="preserve">Configure your first feature flag</w:t>
      </w:r>
      <w:r>
        <w:t xml:space="preserve"> via the Config Service and watch it propagate to your SDK instance in real-time via SSE.</w:t>
      </w:r>
    </w:p>
    <w:p>
      <w:pPr>
        <w:spacing w:after="200" w:before="300"/>
      </w:pPr>
      <w:r>
        <w:t xml:space="preserve">For production deployment, each service ships with a Dockerfile. Git tags matching v* automatically trigger Docker image builds to GitHub Container Registry and npm publish for the SDK.</w:t>
      </w:r>
    </w:p>
    <w:p>
      <w:pPr>
        <w:pStyle w:val="Heading1"/>
      </w:pPr>
      <w:r>
        <w:t xml:space="preserve">Next Steps</w:t>
      </w:r>
    </w:p>
    <w:p>
      <w:pPr>
        <w:spacing w:after="120"/>
      </w:pPr>
      <w:r>
        <w:t xml:space="preserve">APDL is ready for integration today. To get started, reach out to the APDL team for your project API key and access to the repository. For technical questions, consult the inline code documentation or open an issue on GitHub. For partnership and enterprise inquiries, contact the team directly.</w:t>
      </w:r>
    </w:p>
    <w:p>
      <w:pPr>
        <w:spacing w:after="200"/>
      </w:pPr>
      <w:r>
        <w:rPr>
          <w:color w:val="065A82"/>
        </w:rPr>
        <w:t xml:space="preserve">Your product has data. APDL turns that data into growth — autonomously.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8"/>
        <w:szCs w:val="18"/>
      </w:rPr>
      <w:t xml:space="preserve">APDL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2744"/>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065A82"/>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C72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2026-03-10T19:37:21.556Z</dcterms:created>
  <dcterms:modified xsi:type="dcterms:W3CDTF">2026-03-10T19:37:21.556Z</dcterms:modified>
</cp:coreProperties>
</file>

<file path=docProps/custom.xml><?xml version="1.0" encoding="utf-8"?>
<Properties xmlns="http://schemas.openxmlformats.org/officeDocument/2006/custom-properties" xmlns:vt="http://schemas.openxmlformats.org/officeDocument/2006/docPropsVTypes"/>
</file>