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0965" w14:textId="77777777" w:rsidR="00F503A5" w:rsidRDefault="00697C90">
      <w:pPr>
        <w:rPr>
          <w:rFonts w:cs="Calibri"/>
          <w:b/>
          <w:bCs/>
        </w:rPr>
      </w:pPr>
      <w:r>
        <w:rPr>
          <w:rFonts w:cs="Calibri"/>
          <w:b/>
          <w:bCs/>
        </w:rPr>
        <w:t xml:space="preserve">Ballpark Community CSR program </w:t>
      </w:r>
    </w:p>
    <w:p w14:paraId="48702FD9" w14:textId="77777777" w:rsidR="00F503A5" w:rsidRDefault="00697C90">
      <w:pPr>
        <w:jc w:val="both"/>
        <w:rPr>
          <w:rFonts w:cs="Calibri"/>
        </w:rPr>
      </w:pPr>
      <w:r>
        <w:rPr>
          <w:rFonts w:cs="Calibri"/>
        </w:rPr>
        <w:t xml:space="preserve">The following Programs are planned to be rolled over the first two years. </w:t>
      </w:r>
    </w:p>
    <w:p w14:paraId="12E86E9A" w14:textId="5D41D290" w:rsidR="00F503A5" w:rsidRDefault="000732D3">
      <w:pPr>
        <w:pStyle w:val="ListParagraph"/>
        <w:numPr>
          <w:ilvl w:val="0"/>
          <w:numId w:val="1"/>
        </w:numPr>
        <w:spacing w:after="160" w:line="254" w:lineRule="auto"/>
        <w:jc w:val="both"/>
        <w:rPr>
          <w:rFonts w:cs="Calibri"/>
        </w:rPr>
      </w:pPr>
      <w:r>
        <w:rPr>
          <w:rFonts w:cs="Calibri"/>
        </w:rPr>
        <w:t xml:space="preserve">The </w:t>
      </w:r>
      <w:r w:rsidR="00697C90">
        <w:rPr>
          <w:rFonts w:cs="Calibri"/>
        </w:rPr>
        <w:t>instituti</w:t>
      </w:r>
      <w:r>
        <w:rPr>
          <w:rFonts w:cs="Calibri"/>
        </w:rPr>
        <w:t>on</w:t>
      </w:r>
      <w:r w:rsidR="00697C90">
        <w:rPr>
          <w:rFonts w:cs="Calibri"/>
        </w:rPr>
        <w:t xml:space="preserve"> Starter packages for snail, </w:t>
      </w:r>
      <w:proofErr w:type="gramStart"/>
      <w:r w:rsidR="00697C90">
        <w:rPr>
          <w:rFonts w:cs="Calibri"/>
        </w:rPr>
        <w:t>fishery</w:t>
      </w:r>
      <w:proofErr w:type="gramEnd"/>
      <w:r w:rsidR="00697C90">
        <w:rPr>
          <w:rFonts w:cs="Calibri"/>
        </w:rPr>
        <w:t xml:space="preserve"> and pig farming, with upskill workshops for relevant candidates that fit our selection criteria.</w:t>
      </w:r>
    </w:p>
    <w:p w14:paraId="79E7CA75" w14:textId="77777777" w:rsidR="00F503A5" w:rsidRDefault="00697C90">
      <w:pPr>
        <w:pStyle w:val="NormalWeb"/>
        <w:jc w:val="both"/>
        <w:rPr>
          <w:rFonts w:ascii="Calibri" w:hAnsi="Calibri" w:cs="Calibri"/>
          <w:sz w:val="22"/>
          <w:szCs w:val="22"/>
        </w:rPr>
      </w:pPr>
      <w:r>
        <w:rPr>
          <w:rFonts w:ascii="Calibri" w:hAnsi="Calibri" w:cs="Calibri"/>
          <w:sz w:val="22"/>
          <w:szCs w:val="22"/>
        </w:rPr>
        <w:t xml:space="preserve">For fish farmers, there are numerous program ideas that align with our CSR principles and make a positive impact on the communities and the environment, including investing in sustainable aquaculture practices, </w:t>
      </w:r>
      <w:proofErr w:type="gramStart"/>
      <w:r>
        <w:rPr>
          <w:rFonts w:ascii="Calibri" w:hAnsi="Calibri" w:cs="Calibri"/>
          <w:sz w:val="22"/>
          <w:szCs w:val="22"/>
        </w:rPr>
        <w:t>snail</w:t>
      </w:r>
      <w:proofErr w:type="gramEnd"/>
      <w:r>
        <w:rPr>
          <w:rFonts w:ascii="Calibri" w:hAnsi="Calibri" w:cs="Calibri"/>
          <w:sz w:val="22"/>
          <w:szCs w:val="22"/>
        </w:rPr>
        <w:t xml:space="preserve"> and pig farming among others. This involves adopting responsible farming techniques that minimize negative environmental impacts, such as reducing water pollution or conserving natural resources.</w:t>
      </w:r>
    </w:p>
    <w:p w14:paraId="4C4ED367" w14:textId="77777777" w:rsidR="00F503A5" w:rsidRDefault="00697C90">
      <w:pPr>
        <w:pStyle w:val="NormalWeb"/>
        <w:jc w:val="both"/>
        <w:rPr>
          <w:rFonts w:ascii="Calibri" w:hAnsi="Calibri" w:cs="Calibri"/>
          <w:sz w:val="22"/>
          <w:szCs w:val="22"/>
        </w:rPr>
      </w:pPr>
      <w:r>
        <w:rPr>
          <w:rFonts w:ascii="Calibri" w:hAnsi="Calibri" w:cs="Calibri"/>
          <w:sz w:val="22"/>
          <w:szCs w:val="22"/>
        </w:rPr>
        <w:t xml:space="preserve">Along the lines of supporting local communities through education and training programs, the farmers will collaborate with educational institutions or vocational training centers and be provided with workshops or courses on sustainable fishing practices, entrepreneurship, and nutrition education related to fish, </w:t>
      </w:r>
      <w:proofErr w:type="gramStart"/>
      <w:r>
        <w:rPr>
          <w:rFonts w:ascii="Calibri" w:hAnsi="Calibri" w:cs="Calibri"/>
          <w:sz w:val="22"/>
          <w:szCs w:val="22"/>
        </w:rPr>
        <w:t>snail</w:t>
      </w:r>
      <w:proofErr w:type="gramEnd"/>
      <w:r>
        <w:rPr>
          <w:rFonts w:ascii="Calibri" w:hAnsi="Calibri" w:cs="Calibri"/>
          <w:sz w:val="22"/>
          <w:szCs w:val="22"/>
        </w:rPr>
        <w:t xml:space="preserve"> or pig consumption.</w:t>
      </w:r>
    </w:p>
    <w:p w14:paraId="0710FBA6" w14:textId="77777777" w:rsidR="00F503A5" w:rsidRDefault="00697C90">
      <w:pPr>
        <w:pStyle w:val="NormalWeb"/>
        <w:jc w:val="both"/>
        <w:rPr>
          <w:rFonts w:ascii="Calibri" w:hAnsi="Calibri" w:cs="Calibri"/>
          <w:sz w:val="22"/>
          <w:szCs w:val="22"/>
        </w:rPr>
      </w:pPr>
      <w:r>
        <w:rPr>
          <w:rFonts w:ascii="Calibri" w:hAnsi="Calibri" w:cs="Calibri"/>
          <w:sz w:val="22"/>
          <w:szCs w:val="22"/>
        </w:rPr>
        <w:t>Furthermore, we will be partnering with non-profit organizations or government agencies to promote conservation efforts and protect marine ecosystems. This will involve participating in habitat restoration projects, organizing beach clean-ups, or supporting research initiatives focused on preserving biodiversity.</w:t>
      </w:r>
    </w:p>
    <w:p w14:paraId="3192D1FE" w14:textId="77777777" w:rsidR="00F503A5" w:rsidRDefault="00697C90">
      <w:pPr>
        <w:pStyle w:val="NormalWeb"/>
        <w:jc w:val="both"/>
        <w:rPr>
          <w:rFonts w:ascii="Calibri" w:hAnsi="Calibri" w:cs="Calibri"/>
          <w:sz w:val="22"/>
          <w:szCs w:val="22"/>
        </w:rPr>
      </w:pPr>
      <w:r>
        <w:rPr>
          <w:rFonts w:ascii="Calibri" w:hAnsi="Calibri" w:cs="Calibri"/>
          <w:sz w:val="22"/>
          <w:szCs w:val="22"/>
        </w:rPr>
        <w:t xml:space="preserve">In summary, incorporating </w:t>
      </w:r>
      <w:proofErr w:type="gramStart"/>
      <w:r>
        <w:rPr>
          <w:rFonts w:ascii="Calibri" w:hAnsi="Calibri" w:cs="Calibri"/>
          <w:sz w:val="22"/>
          <w:szCs w:val="22"/>
        </w:rPr>
        <w:t>this</w:t>
      </w:r>
      <w:proofErr w:type="gramEnd"/>
      <w:r>
        <w:rPr>
          <w:rFonts w:ascii="Calibri" w:hAnsi="Calibri" w:cs="Calibri"/>
          <w:sz w:val="22"/>
          <w:szCs w:val="22"/>
        </w:rPr>
        <w:t xml:space="preserve"> CSR programs into the operations of the farmers not only benefits the environment but also improves our positive footprint in the areas we operate in. By investing in sustainable practices, supporting local communities through education and training, and collaborating with relevant organizations for conservation efforts, the farmers can play a crucial role in creating a more sustainable future for themselves and their surrounding ecosystems.</w:t>
      </w:r>
    </w:p>
    <w:p w14:paraId="688ECA13" w14:textId="77777777" w:rsidR="00F503A5" w:rsidRDefault="00697C90">
      <w:pPr>
        <w:pStyle w:val="NormalWeb"/>
        <w:jc w:val="both"/>
        <w:rPr>
          <w:rFonts w:ascii="Calibri" w:hAnsi="Calibri" w:cs="Calibri"/>
          <w:sz w:val="22"/>
          <w:szCs w:val="22"/>
        </w:rPr>
      </w:pPr>
      <w:r>
        <w:rPr>
          <w:rFonts w:ascii="Calibri" w:hAnsi="Calibri" w:cs="Calibri"/>
          <w:sz w:val="22"/>
          <w:szCs w:val="22"/>
        </w:rPr>
        <w:t>ii.</w:t>
      </w:r>
      <w:r>
        <w:rPr>
          <w:rFonts w:ascii="Calibri" w:hAnsi="Calibri" w:cs="Calibri"/>
          <w:sz w:val="22"/>
          <w:szCs w:val="22"/>
        </w:rPr>
        <w:tab/>
        <w:t xml:space="preserve">Over the course of the next 2 years we will roll out Solar Farms for each village in the areas, developed by specialist solar energy specialists, with the objective that every household in the village will receive subsidized or free electricity. Solar farms serve as a tangible embodiment of our commitment to renewable energy and reducing </w:t>
      </w:r>
      <w:proofErr w:type="gramStart"/>
      <w:r>
        <w:rPr>
          <w:rFonts w:ascii="Calibri" w:hAnsi="Calibri" w:cs="Calibri"/>
          <w:sz w:val="22"/>
          <w:szCs w:val="22"/>
        </w:rPr>
        <w:t>carbon</w:t>
      </w:r>
      <w:proofErr w:type="gramEnd"/>
      <w:r>
        <w:rPr>
          <w:rFonts w:ascii="Calibri" w:hAnsi="Calibri" w:cs="Calibri"/>
          <w:sz w:val="22"/>
          <w:szCs w:val="22"/>
        </w:rPr>
        <w:t xml:space="preserve"> footprint. By harnessing clean and renewable solar power, this initiative contributes significantly towards environmental conservation and combating climate change.</w:t>
      </w:r>
    </w:p>
    <w:p w14:paraId="48EB1BB6" w14:textId="77777777" w:rsidR="00F503A5" w:rsidRDefault="00697C90">
      <w:pPr>
        <w:pStyle w:val="NormalWeb"/>
        <w:jc w:val="both"/>
        <w:rPr>
          <w:rFonts w:ascii="Calibri" w:hAnsi="Calibri" w:cs="Calibri"/>
          <w:sz w:val="22"/>
          <w:szCs w:val="22"/>
        </w:rPr>
      </w:pPr>
      <w:r>
        <w:rPr>
          <w:rFonts w:ascii="Calibri" w:hAnsi="Calibri" w:cs="Calibri"/>
          <w:sz w:val="22"/>
          <w:szCs w:val="22"/>
        </w:rPr>
        <w:t xml:space="preserve">Moreover, beyond their environmental impact, solar farms also foster community engagement by creating opportunities for collaboration and involvement. </w:t>
      </w:r>
    </w:p>
    <w:p w14:paraId="7E92E2AA" w14:textId="77777777" w:rsidR="00F503A5" w:rsidRDefault="00697C90">
      <w:pPr>
        <w:pStyle w:val="NormalWeb"/>
        <w:jc w:val="both"/>
        <w:rPr>
          <w:rFonts w:ascii="Calibri" w:hAnsi="Calibri" w:cs="Calibri"/>
          <w:sz w:val="22"/>
          <w:szCs w:val="22"/>
        </w:rPr>
      </w:pPr>
      <w:r>
        <w:rPr>
          <w:rFonts w:ascii="Calibri" w:hAnsi="Calibri" w:cs="Calibri"/>
          <w:sz w:val="22"/>
          <w:szCs w:val="22"/>
        </w:rPr>
        <w:t xml:space="preserve">Additionally, this CSR-driven project will lead to job creation within the community. The establishment and maintenance of a solar farm </w:t>
      </w:r>
      <w:proofErr w:type="gramStart"/>
      <w:r>
        <w:rPr>
          <w:rFonts w:ascii="Calibri" w:hAnsi="Calibri" w:cs="Calibri"/>
          <w:sz w:val="22"/>
          <w:szCs w:val="22"/>
        </w:rPr>
        <w:t>require</w:t>
      </w:r>
      <w:proofErr w:type="gramEnd"/>
      <w:r>
        <w:rPr>
          <w:rFonts w:ascii="Calibri" w:hAnsi="Calibri" w:cs="Calibri"/>
          <w:sz w:val="22"/>
          <w:szCs w:val="22"/>
        </w:rPr>
        <w:t xml:space="preserve"> skilled technicians, engineers, and support staff, providing employment opportunities that contribute to local economic development.</w:t>
      </w:r>
    </w:p>
    <w:p w14:paraId="640E93E2" w14:textId="77777777" w:rsidR="00F503A5" w:rsidRDefault="00697C90">
      <w:pPr>
        <w:pStyle w:val="NormalWeb"/>
        <w:jc w:val="both"/>
        <w:rPr>
          <w:rFonts w:ascii="Calibri" w:hAnsi="Calibri" w:cs="Calibri"/>
          <w:sz w:val="22"/>
          <w:szCs w:val="22"/>
        </w:rPr>
      </w:pPr>
      <w:r>
        <w:rPr>
          <w:rFonts w:ascii="Calibri" w:hAnsi="Calibri" w:cs="Calibri"/>
          <w:sz w:val="22"/>
          <w:szCs w:val="22"/>
        </w:rPr>
        <w:t>iii.</w:t>
      </w:r>
      <w:r>
        <w:rPr>
          <w:rFonts w:ascii="Calibri" w:hAnsi="Calibri" w:cs="Calibri"/>
          <w:sz w:val="22"/>
          <w:szCs w:val="22"/>
        </w:rPr>
        <w:tab/>
        <w:t xml:space="preserve">We plan on developing any required water boreholes and delivery systems in stages. One crucial aspect of our CSR program is addressing the pressing issue of access to clean and safe water in small communities. This is where the concept of borehole water and efficient water distribution systems come into play. By investing in borehole water projects, we can make a significant impact on the lives of people living in underserved communities. Boreholes provide a sustainable source of clean water that can be accessed throughout the year. Moreover, with proper infrastructure and management systems in place, this precious resource can be efficiently distributed to those who need it most. Water distribution plays a vital role in ensuring that every individual has access to safe drinking water for their daily needs. By implementing effective strategies and technologies, we can ensure that no community is left behind when it comes to accessing this </w:t>
      </w:r>
      <w:proofErr w:type="gramStart"/>
      <w:r>
        <w:rPr>
          <w:rFonts w:ascii="Calibri" w:hAnsi="Calibri" w:cs="Calibri"/>
          <w:sz w:val="22"/>
          <w:szCs w:val="22"/>
        </w:rPr>
        <w:t>basic necessity</w:t>
      </w:r>
      <w:proofErr w:type="gramEnd"/>
      <w:r>
        <w:rPr>
          <w:rFonts w:ascii="Calibri" w:hAnsi="Calibri" w:cs="Calibri"/>
          <w:sz w:val="22"/>
          <w:szCs w:val="22"/>
        </w:rPr>
        <w:t>.</w:t>
      </w:r>
    </w:p>
    <w:p w14:paraId="1E4C362C" w14:textId="77777777" w:rsidR="00F503A5" w:rsidRDefault="00697C90">
      <w:pPr>
        <w:pStyle w:val="NormalWeb"/>
        <w:jc w:val="both"/>
        <w:rPr>
          <w:rFonts w:ascii="Calibri" w:hAnsi="Calibri" w:cs="Calibri"/>
          <w:sz w:val="22"/>
          <w:szCs w:val="22"/>
        </w:rPr>
      </w:pPr>
      <w:r>
        <w:rPr>
          <w:rFonts w:ascii="Calibri" w:hAnsi="Calibri" w:cs="Calibri"/>
          <w:sz w:val="22"/>
          <w:szCs w:val="22"/>
        </w:rPr>
        <w:lastRenderedPageBreak/>
        <w:t>iv.</w:t>
      </w:r>
      <w:r>
        <w:rPr>
          <w:rFonts w:ascii="Calibri" w:hAnsi="Calibri" w:cs="Calibri"/>
          <w:sz w:val="22"/>
          <w:szCs w:val="22"/>
        </w:rPr>
        <w:tab/>
        <w:t>We will carry out road compaction in the villages around our quarries. One area where CSR initiatives can make a significant difference is in infrastructure development, particularly in rural villages. Road compaction is an integral part of infrastructure development as it ensures the durability and longevity of roads. By investing in road compaction projects, we can contribute to the improvement of transportation networks in rural areas, connecting villages to urban centers and facilitating access to vital services such as healthcare, education, and markets. Moreover, infrastructure development goes beyond just constructing roads. It also encompasses initiatives that address other community needs such as water supply systems, sanitation facilities, schools, and community centers. These efforts not only enhance the quality of life for villagers but also foster economic growth by attracting businesses and creating employment opportunities.</w:t>
      </w:r>
    </w:p>
    <w:p w14:paraId="6CC6ED21" w14:textId="77777777" w:rsidR="00F503A5" w:rsidRDefault="00F503A5">
      <w:pPr>
        <w:pStyle w:val="NormalWeb"/>
        <w:jc w:val="both"/>
        <w:rPr>
          <w:rFonts w:ascii="Calibri" w:hAnsi="Calibri" w:cs="Calibri"/>
          <w:sz w:val="22"/>
          <w:szCs w:val="22"/>
        </w:rPr>
      </w:pPr>
    </w:p>
    <w:p w14:paraId="2683FF34" w14:textId="77777777" w:rsidR="00F503A5" w:rsidRDefault="00697C90">
      <w:pPr>
        <w:pStyle w:val="NormalWeb"/>
        <w:jc w:val="both"/>
      </w:pPr>
      <w:r>
        <w:rPr>
          <w:rFonts w:ascii="Calibri" w:hAnsi="Calibri" w:cs="Calibri"/>
          <w:sz w:val="22"/>
          <w:szCs w:val="22"/>
        </w:rPr>
        <w:t>v.</w:t>
      </w:r>
      <w:r>
        <w:rPr>
          <w:rFonts w:ascii="Calibri" w:hAnsi="Calibri" w:cs="Calibri"/>
          <w:sz w:val="22"/>
          <w:szCs w:val="22"/>
        </w:rPr>
        <w:tab/>
        <w:t xml:space="preserve">We plan on building teachers' residents' units using an eco-friendly design using local materials where and when possible, withstanding the fittings, which will be sourced as usual in our procurement process. </w:t>
      </w:r>
      <w:r>
        <w:rPr>
          <w:rFonts w:ascii="Calibri" w:eastAsia="Calibri" w:hAnsi="Calibri" w:cs="Calibri"/>
          <w:sz w:val="22"/>
          <w:szCs w:val="22"/>
          <w:lang w:val="en-GB"/>
        </w:rPr>
        <w:t>We recognize our role in contributing to the well-being of society and addressing pressing social issues. One such critical area of focus is affordable housing, which remains a persistent challenge in many communities worldwide.</w:t>
      </w:r>
    </w:p>
    <w:p w14:paraId="30E23D3E" w14:textId="77777777" w:rsidR="00F503A5" w:rsidRDefault="00697C90">
      <w:pPr>
        <w:pStyle w:val="NormalWeb"/>
        <w:jc w:val="both"/>
        <w:rPr>
          <w:rFonts w:ascii="Calibri" w:eastAsia="Calibri" w:hAnsi="Calibri" w:cs="Calibri"/>
          <w:sz w:val="22"/>
          <w:szCs w:val="22"/>
          <w:lang w:val="en-GB"/>
        </w:rPr>
      </w:pPr>
      <w:r>
        <w:rPr>
          <w:rFonts w:ascii="Calibri" w:eastAsia="Calibri" w:hAnsi="Calibri" w:cs="Calibri"/>
          <w:sz w:val="22"/>
          <w:szCs w:val="22"/>
          <w:lang w:val="en-GB"/>
        </w:rPr>
        <w:t>Affordable housing not only addresses the basic human need for shelter but also plays a vital role in fostering community development and improving overall quality of life. As part of our CSR programs, we will engage in this initiative that aim to provide sustainable housing solutions, starting with affordable residential housing units for teachers in the community.</w:t>
      </w:r>
    </w:p>
    <w:p w14:paraId="725434B5" w14:textId="77777777" w:rsidR="00F503A5" w:rsidRDefault="00697C90">
      <w:pPr>
        <w:jc w:val="both"/>
        <w:rPr>
          <w:rFonts w:cs="Calibri"/>
        </w:rPr>
      </w:pPr>
      <w:r>
        <w:rPr>
          <w:rFonts w:cs="Calibri"/>
        </w:rPr>
        <w:t>vi.</w:t>
      </w:r>
      <w:r>
        <w:rPr>
          <w:rFonts w:cs="Calibri"/>
        </w:rPr>
        <w:tab/>
        <w:t xml:space="preserve">We are donating computers, audiovisual equipment, and internet connections for schools, which we intend to also repurpose for adults who can also use them for upskilling when school is out. Donating computers, audiovisual equipment, and internet connections helps bridge the digital divide by providing schools with essential tools for learning. Students gain access to information, educational resources, and interactive learning experiences. Technology in the classroom opens new avenues for interactive and engaging learning. It can facilitate multimedia presentations, online research, and collaborative projects, thereby enhancing the overall learning experience for students. Equipping schools with technology empowers educators to incorporate innovative teaching methods. Teachers can use audiovisual materials to make lessons more engaging, and the internet can be a valuable resource for professional development. Providing access to computers and the internet helps students develop digital literacy skills, which are essential in today's technology-driven world. These skills are crucial for future academic and professional success. </w:t>
      </w:r>
    </w:p>
    <w:p w14:paraId="23770502" w14:textId="77777777" w:rsidR="00F503A5" w:rsidRDefault="00697C90">
      <w:pPr>
        <w:jc w:val="both"/>
        <w:rPr>
          <w:rFonts w:cs="Calibri"/>
        </w:rPr>
      </w:pPr>
      <w:r>
        <w:rPr>
          <w:rFonts w:cs="Calibri"/>
        </w:rPr>
        <w:t>vii.</w:t>
      </w:r>
      <w:r>
        <w:rPr>
          <w:rFonts w:cs="Calibri"/>
        </w:rPr>
        <w:tab/>
        <w:t xml:space="preserve">Tiling upgrade for the palace, using Kaolin from the quarries. Improving the infrastructure of the village chief's palace contributes to the overall development of the community. It enhances the living conditions and prestige of the chief, potentially fostering a sense of pride and identity among the villagers. The act of donating floor tiling for the chief's palace can be a symbolic gesture of respect and support for the local leadership. It demonstrates the company's commitment to the well-being of the community and its cultural values. Upgrading the flooring of the chief's palace can aesthetically enhance the building, making it more visually appealing. This improvement will have a positive psychological impact on the community members and visitors. Engaging local artisans and workers for the installation of the floor tiles can create job opportunities and promote skill development within the community. This collaboration fosters a sense of inclusivity and shared responsibility. </w:t>
      </w:r>
    </w:p>
    <w:p w14:paraId="2807DDF1" w14:textId="77777777" w:rsidR="00F503A5" w:rsidRDefault="00697C90">
      <w:pPr>
        <w:jc w:val="both"/>
        <w:rPr>
          <w:rFonts w:cs="Calibri"/>
        </w:rPr>
      </w:pPr>
      <w:r>
        <w:rPr>
          <w:rFonts w:cs="Calibri"/>
        </w:rPr>
        <w:t>viii.</w:t>
      </w:r>
      <w:r>
        <w:rPr>
          <w:rFonts w:cs="Calibri"/>
        </w:rPr>
        <w:tab/>
        <w:t xml:space="preserve">The Villages are to supply workers for the quarry. Employing local workers from beneficiary communities to work on quarry sites is a commendable aspect of our Corporate Social Responsibility (CSR) initiative. It not only supports the local economy but also fosters community development and positive relationships between the company and the surrounding communities. Providing job </w:t>
      </w:r>
      <w:r>
        <w:rPr>
          <w:rFonts w:cs="Calibri"/>
        </w:rPr>
        <w:lastRenderedPageBreak/>
        <w:t xml:space="preserve">opportunities to individuals from the beneficiary communities helps reduce unemployment and poverty levels. It directly contributes to the economic well-being of </w:t>
      </w:r>
      <w:proofErr w:type="gramStart"/>
      <w:r>
        <w:rPr>
          <w:rFonts w:cs="Calibri"/>
        </w:rPr>
        <w:t>local residents</w:t>
      </w:r>
      <w:proofErr w:type="gramEnd"/>
      <w:r>
        <w:rPr>
          <w:rFonts w:cs="Calibri"/>
        </w:rPr>
        <w:t>. Offering employment to local workers provides them with valuable skills and experience. Training programs can be implemented to enhance their skills, making them more employable in the long run, even beyond the quarry industry. Employment opportunities empower individuals and communities by providing them with a source of income. This, in turn, can lead to increased self-reliance and a sense of pride among community members. By hiring local workers, the company demonstrates cultural sensitivity and inclusivity. It acknowledges the importance of local communities and their contributions to the success of the company's operations. In conclusion, employing local workers from beneficiary communities at quarry sites is a holistic CSR strategy that goes beyond economic contributions. It addresses social, cultural, and environmental aspects, fostering a mutually beneficial relationship between the company and the communities we operate in.</w:t>
      </w:r>
    </w:p>
    <w:p w14:paraId="50DA3394" w14:textId="77777777" w:rsidR="00F503A5" w:rsidRDefault="00697C90">
      <w:pPr>
        <w:jc w:val="both"/>
        <w:rPr>
          <w:rFonts w:cs="Calibri"/>
        </w:rPr>
      </w:pPr>
      <w:r>
        <w:rPr>
          <w:rFonts w:cs="Calibri"/>
        </w:rPr>
        <w:t>These projects will be carried out in collaboration with local universities and other relevant stakeholders.</w:t>
      </w:r>
    </w:p>
    <w:p w14:paraId="5DF9841D" w14:textId="77777777" w:rsidR="00F503A5" w:rsidRDefault="00F503A5"/>
    <w:sectPr w:rsidR="00F503A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FA31" w14:textId="77777777" w:rsidR="005F6FB1" w:rsidRDefault="005F6FB1">
      <w:pPr>
        <w:spacing w:after="0" w:line="240" w:lineRule="auto"/>
      </w:pPr>
      <w:r>
        <w:separator/>
      </w:r>
    </w:p>
  </w:endnote>
  <w:endnote w:type="continuationSeparator" w:id="0">
    <w:p w14:paraId="1495EC37" w14:textId="77777777" w:rsidR="005F6FB1" w:rsidRDefault="005F6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2E4D" w14:textId="77777777" w:rsidR="005F6FB1" w:rsidRDefault="005F6FB1">
      <w:pPr>
        <w:spacing w:after="0" w:line="240" w:lineRule="auto"/>
      </w:pPr>
      <w:r>
        <w:rPr>
          <w:color w:val="000000"/>
        </w:rPr>
        <w:separator/>
      </w:r>
    </w:p>
  </w:footnote>
  <w:footnote w:type="continuationSeparator" w:id="0">
    <w:p w14:paraId="0AB26839" w14:textId="77777777" w:rsidR="005F6FB1" w:rsidRDefault="005F6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4025F"/>
    <w:multiLevelType w:val="multilevel"/>
    <w:tmpl w:val="631CC7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846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A5"/>
    <w:rsid w:val="000732D3"/>
    <w:rsid w:val="005F6FB1"/>
    <w:rsid w:val="00697C90"/>
    <w:rsid w:val="00875573"/>
    <w:rsid w:val="00F503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25C"/>
  <w15:docId w15:val="{73AB14EF-F732-4B78-A909-21E7130C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spacing w:after="220" w:line="240" w:lineRule="auto"/>
      <w:ind w:left="720"/>
      <w:contextualSpacing/>
    </w:pPr>
    <w:rPr>
      <w:rFonts w:eastAsia="Times New Roman"/>
      <w:lang w:val="en-US"/>
    </w:rPr>
  </w:style>
  <w:style w:type="paragraph" w:styleId="NormalWeb">
    <w:name w:val="Normal (Web)"/>
    <w:basedOn w:val="Normal"/>
    <w:pPr>
      <w:spacing w:after="220"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 hislop</dc:creator>
  <dc:description/>
  <cp:lastModifiedBy>chakan hislop</cp:lastModifiedBy>
  <cp:revision>3</cp:revision>
  <dcterms:created xsi:type="dcterms:W3CDTF">2023-12-13T12:03:00Z</dcterms:created>
  <dcterms:modified xsi:type="dcterms:W3CDTF">2023-12-15T05:54:00Z</dcterms:modified>
</cp:coreProperties>
</file>