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rFonts w:ascii="Calibri" w:hAnsi="Calibri"/>
          <w:b/>
          <w:color w:val="0B2545"/>
          <w:sz w:val="60"/>
        </w:rPr>
        <w:t>FARI</w:t>
      </w:r>
    </w:p>
    <w:p>
      <w:pPr>
        <w:spacing w:after="160"/>
        <w:jc w:val="center"/>
      </w:pPr>
      <w:r>
        <w:rPr>
          <w:rFonts w:ascii="Calibri" w:hAnsi="Calibri"/>
          <w:b/>
          <w:color w:val="2E74B5"/>
          <w:sz w:val="36"/>
        </w:rPr>
        <w:t>Investigation Report</w:t>
      </w:r>
    </w:p>
    <w:p>
      <w:pPr>
        <w:spacing w:after="440"/>
        <w:jc w:val="center"/>
      </w:pPr>
      <w:r>
        <w:rPr>
          <w:rFonts w:ascii="Calibri" w:hAnsi="Calibri"/>
          <w:color w:val="667085"/>
          <w:sz w:val="30"/>
        </w:rPr>
        <w:t>OSDLP Telecommand Library Fuzzing</w:t>
      </w:r>
    </w:p>
    <w:p>
      <w:pPr>
        <w:spacing w:after="120"/>
        <w:jc w:val="center"/>
      </w:pPr>
      <w:r>
        <w:rPr>
          <w:rFonts w:ascii="Calibri" w:hAnsi="Calibri"/>
          <w:b/>
          <w:color w:val="667085"/>
          <w:sz w:val="21"/>
        </w:rPr>
        <w:t>Report maturity: Provisional  |  7 June 2026</w:t>
      </w:r>
    </w:p>
    <w:p/>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50" w:type="dxa"/>
              <w:start w:w="180" w:type="dxa"/>
              <w:bottom w:w="150" w:type="dxa"/>
              <w:end w:w="180" w:type="dxa"/>
            </w:tcMar>
            <w:vAlign w:val="center"/>
            <w:shd w:fill="B42318"/>
          </w:tcPr>
          <w:p>
            <w:pPr>
              <w:spacing w:after="80"/>
              <w:jc w:val="center"/>
            </w:pPr>
            <w:r>
              <w:rPr>
                <w:rFonts w:ascii="Calibri" w:hAnsi="Calibri"/>
                <w:b/>
                <w:color w:val="FFFFFF"/>
                <w:sz w:val="36"/>
              </w:rPr>
              <w:t>DOES NOT MEET</w:t>
            </w:r>
          </w:p>
          <w:p>
            <w:pPr>
              <w:spacing w:after="0"/>
              <w:jc w:val="center"/>
            </w:pPr>
            <w:r>
              <w:rPr>
                <w:rFonts w:ascii="Calibri" w:hAnsi="Calibri"/>
                <w:b/>
                <w:color w:val="FFFFFF"/>
                <w:sz w:val="19"/>
              </w:rPr>
              <w:t>FARI qualitative executive conclusion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External auditors do not need FARI knowledge or forms. Supplied source material remains in cases/; the Report Author creates all FARI analysis, conclusions, and follow-up actions.</w:t>
            </w:r>
          </w:p>
        </w:tc>
      </w:tr>
    </w:tbl>
    <w:p>
      <w:pPr>
        <w:spacing w:after="20"/>
      </w:pPr>
    </w:p>
    <w:p>
      <w:pPr>
        <w:spacing w:before="360"/>
        <w:jc w:val="center"/>
      </w:pPr>
      <w:r>
        <w:rPr>
          <w:rFonts w:ascii="Calibri" w:hAnsi="Calibri"/>
          <w:i/>
          <w:color w:val="667085"/>
          <w:sz w:val="19"/>
        </w:rPr>
        <w:t>Auditor evidence: cases/01_Lib.md</w:t>
      </w:r>
      <w:r>
        <w:br w:type="page"/>
      </w:r>
    </w:p>
    <w:p>
      <w:pPr>
        <w:pStyle w:val="Heading2"/>
      </w:pPr>
      <w:r>
        <w:rPr>
          <w:rFonts w:ascii="Calibri" w:hAnsi="Calibri"/>
          <w:color w:val="2E74B5"/>
          <w:sz w:val="26"/>
        </w:rPr>
        <w:t>Document Control</w:t>
      </w:r>
    </w:p>
    <w:p>
      <w:pPr>
        <w:pStyle w:val="ListBullet"/>
      </w:pPr>
      <w:r>
        <w:rPr>
          <w:rFonts w:ascii="Calibri" w:hAnsi="Calibri"/>
          <w:b/>
          <w:sz w:val="22"/>
        </w:rPr>
        <w:t>Assessment ID:</w:t>
      </w:r>
      <w:r>
        <w:rPr>
          <w:rFonts w:ascii="Calibri" w:hAnsi="Calibri"/>
          <w:sz w:val="22"/>
        </w:rPr>
        <w:t xml:space="preserve"> </w:t>
      </w:r>
      <w:r>
        <w:rPr>
          <w:rFonts w:ascii="Courier New" w:hAnsi="Courier New"/>
          <w:color w:val="1F4D78"/>
          <w:sz w:val="20"/>
        </w:rPr>
        <w:t>ASM-FARI-2026-001</w:t>
      </w:r>
    </w:p>
    <w:p>
      <w:pPr>
        <w:pStyle w:val="ListBullet"/>
      </w:pPr>
      <w:r>
        <w:rPr>
          <w:rFonts w:ascii="Calibri" w:hAnsi="Calibri"/>
          <w:b/>
          <w:sz w:val="22"/>
        </w:rPr>
        <w:t>Report version:</w:t>
      </w:r>
      <w:r>
        <w:rPr>
          <w:rFonts w:ascii="Calibri" w:hAnsi="Calibri"/>
          <w:sz w:val="22"/>
        </w:rPr>
        <w:t xml:space="preserve"> </w:t>
      </w:r>
      <w:r>
        <w:rPr>
          <w:rFonts w:ascii="Courier New" w:hAnsi="Courier New"/>
          <w:color w:val="1F4D78"/>
          <w:sz w:val="20"/>
        </w:rPr>
        <w:t>0.2</w:t>
      </w:r>
    </w:p>
    <w:p>
      <w:pPr>
        <w:pStyle w:val="ListBullet"/>
      </w:pPr>
      <w:r>
        <w:rPr>
          <w:rFonts w:ascii="Calibri" w:hAnsi="Calibri"/>
          <w:b/>
          <w:sz w:val="22"/>
        </w:rPr>
        <w:t>Report maturity:</w:t>
      </w:r>
      <w:r>
        <w:rPr>
          <w:rFonts w:ascii="Calibri" w:hAnsi="Calibri"/>
          <w:sz w:val="22"/>
        </w:rPr>
        <w:t xml:space="preserve"> Provisional</w:t>
      </w:r>
    </w:p>
    <w:p>
      <w:pPr>
        <w:pStyle w:val="ListBullet"/>
      </w:pPr>
      <w:r>
        <w:rPr>
          <w:rFonts w:ascii="Calibri" w:hAnsi="Calibri"/>
          <w:b/>
          <w:sz w:val="22"/>
        </w:rPr>
        <w:t>Report date:</w:t>
      </w:r>
      <w:r>
        <w:rPr>
          <w:rFonts w:ascii="Calibri" w:hAnsi="Calibri"/>
          <w:sz w:val="22"/>
        </w:rPr>
        <w:t xml:space="preserve"> </w:t>
      </w:r>
      <w:r>
        <w:rPr>
          <w:rFonts w:ascii="Courier New" w:hAnsi="Courier New"/>
          <w:color w:val="1F4D78"/>
          <w:sz w:val="20"/>
        </w:rPr>
        <w:t>2026-06-07</w:t>
      </w:r>
    </w:p>
    <w:p>
      <w:pPr>
        <w:pStyle w:val="ListBullet"/>
      </w:pPr>
      <w:r>
        <w:rPr>
          <w:rFonts w:ascii="Calibri" w:hAnsi="Calibri"/>
          <w:b/>
          <w:sz w:val="22"/>
        </w:rPr>
        <w:t>Source material:</w:t>
      </w:r>
      <w:r>
        <w:rPr>
          <w:rFonts w:ascii="Calibri" w:hAnsi="Calibri"/>
          <w:sz w:val="22"/>
        </w:rPr>
        <w:t xml:space="preserve"> </w:t>
      </w:r>
      <w:r>
        <w:rPr>
          <w:rFonts w:ascii="Courier New" w:hAnsi="Courier New"/>
          <w:color w:val="1F4D78"/>
          <w:sz w:val="20"/>
        </w:rPr>
        <w:t>cases/01_Lib.md</w:t>
      </w:r>
      <w:r>
        <w:rPr>
          <w:rFonts w:ascii="Calibri" w:hAnsi="Calibri"/>
          <w:sz w:val="22"/>
        </w:rPr>
        <w:t xml:space="preserve"> (../cases/01_Lib.md)</w:t>
      </w:r>
    </w:p>
    <w:p>
      <w:pPr>
        <w:pStyle w:val="ListBullet"/>
      </w:pPr>
      <w:r>
        <w:rPr>
          <w:rFonts w:ascii="Calibri" w:hAnsi="Calibri"/>
          <w:b/>
          <w:sz w:val="22"/>
        </w:rPr>
        <w:t>Evidence producer:</w:t>
      </w:r>
      <w:r>
        <w:rPr>
          <w:rFonts w:ascii="Calibri" w:hAnsi="Calibri"/>
          <w:sz w:val="22"/>
        </w:rPr>
        <w:t xml:space="preserve"> Auditor; identity not supplied</w:t>
      </w:r>
    </w:p>
    <w:p>
      <w:pPr>
        <w:pStyle w:val="ListBullet"/>
      </w:pPr>
      <w:r>
        <w:rPr>
          <w:rFonts w:ascii="Calibri" w:hAnsi="Calibri"/>
          <w:b/>
          <w:sz w:val="22"/>
        </w:rPr>
        <w:t>Report author:</w:t>
      </w:r>
      <w:r>
        <w:rPr>
          <w:rFonts w:ascii="Calibri" w:hAnsi="Calibri"/>
          <w:sz w:val="22"/>
        </w:rPr>
        <w:t xml:space="preserve"> FARI Report Author</w:t>
      </w:r>
    </w:p>
    <w:p>
      <w:pPr>
        <w:pStyle w:val="ListBullet"/>
      </w:pPr>
      <w:r>
        <w:rPr>
          <w:rFonts w:ascii="Calibri" w:hAnsi="Calibri"/>
          <w:b/>
          <w:sz w:val="22"/>
        </w:rPr>
        <w:t>Mission owner / risk authority:</w:t>
      </w:r>
      <w:r>
        <w:rPr>
          <w:rFonts w:ascii="Calibri" w:hAnsi="Calibri"/>
          <w:sz w:val="22"/>
        </w:rPr>
        <w:t xml:space="preserve"> Not supplied</w:t>
      </w:r>
    </w:p>
    <w:p>
      <w:pPr>
        <w:pStyle w:val="ListBullet"/>
      </w:pPr>
      <w:r>
        <w:rPr>
          <w:rFonts w:ascii="Calibri" w:hAnsi="Calibri"/>
          <w:b/>
          <w:sz w:val="22"/>
        </w:rPr>
        <w:t>Framework profile:</w:t>
      </w:r>
      <w:r>
        <w:rPr>
          <w:rFonts w:ascii="Calibri" w:hAnsi="Calibri"/>
          <w:sz w:val="22"/>
        </w:rPr>
        <w:t xml:space="preserve"> SPARTA live content accessed </w:t>
      </w:r>
      <w:r>
        <w:rPr>
          <w:rFonts w:ascii="Courier New" w:hAnsi="Courier New"/>
          <w:color w:val="1F4D78"/>
          <w:sz w:val="20"/>
        </w:rPr>
        <w:t>2026-06-07</w:t>
      </w:r>
    </w:p>
    <w:p>
      <w:pPr>
        <w:pStyle w:val="Heading2"/>
      </w:pPr>
      <w:r>
        <w:rPr>
          <w:rFonts w:ascii="Calibri" w:hAnsi="Calibri"/>
          <w:color w:val="2E74B5"/>
          <w:sz w:val="26"/>
        </w:rPr>
        <w:t>1.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High for the tested host sanitizer build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mission-critical integration approval</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Scope Boundary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OSDLP telecommand receive and unpack paths exercised by the supplied host-based libFuzzer and AddressSanitizer runs; integrated flight software, RF delivery, hardware, and on-orbit behavior excluded</w:t>
            </w:r>
          </w:p>
        </w:tc>
      </w:tr>
    </w:tbl>
    <w:p>
      <w:pPr>
        <w:spacing w:after="20"/>
      </w:pPr>
    </w:p>
    <w:p>
      <w:r>
        <w:rPr>
          <w:rFonts w:ascii="Calibri" w:hAnsi="Calibri"/>
          <w:b/>
          <w:sz w:val="22"/>
        </w:rPr>
        <w:t>Rationale:</w:t>
      </w:r>
      <w:r>
        <w:rPr>
          <w:rFonts w:ascii="Calibri" w:hAnsi="Calibri"/>
          <w:sz w:val="22"/>
        </w:rPr>
        <w:t xml:space="preserve"> Claim </w:t>
      </w:r>
      <w:r>
        <w:rPr>
          <w:rFonts w:ascii="Courier New" w:hAnsi="Courier New"/>
          <w:color w:val="1F4D78"/>
          <w:sz w:val="20"/>
        </w:rPr>
        <w:t>CLM-LIB-001</w:t>
      </w:r>
      <w:r>
        <w:rPr>
          <w:rFonts w:ascii="Calibri" w:hAnsi="Calibri"/>
          <w:sz w:val="22"/>
        </w:rPr>
        <w:t xml:space="preserve"> fails in the tested scope because two supplied runs directly demonstrate out-of-bounds reads and process termination. Missing integration context limits the conclusion's scope but does not make the demonstrated claim failure inconclusive.</w:t>
      </w:r>
    </w:p>
    <w:p>
      <w:pPr>
        <w:pStyle w:val="Heading2"/>
      </w:pPr>
      <w:r>
        <w:rPr>
          <w:rFonts w:ascii="Calibri" w:hAnsi="Calibri"/>
          <w:color w:val="2E74B5"/>
          <w:sz w:val="26"/>
        </w:rPr>
        <w:t>2. Executive Decision Summary</w:t>
      </w:r>
    </w:p>
    <w:p>
      <w:r>
        <w:rPr>
          <w:rFonts w:ascii="Calibri" w:hAnsi="Calibri"/>
          <w:sz w:val="22"/>
        </w:rPr>
        <w:t>The supplied libFuzzer and AddressSanitizer logs directly demonstrate two out-of-bounds reads in OSDLP telecommand-processing paths:</w:t>
      </w:r>
    </w:p>
    <w:p>
      <w:pPr>
        <w:spacing w:after="80" w:line="300" w:lineRule="auto"/>
        <w:numPr>
          <w:ilvl w:val="0"/>
          <w:numId w:val="10"/>
        </w:numPr>
      </w:pPr>
      <w:r>
        <w:rPr>
          <w:rFonts w:ascii="Courier New" w:hAnsi="Courier New"/>
          <w:color w:val="1F4D78"/>
          <w:sz w:val="20"/>
        </w:rPr>
        <w:t>osdlp_tc_receive</w:t>
      </w:r>
      <w:r>
        <w:rPr>
          <w:rFonts w:ascii="Calibri" w:hAnsi="Calibri"/>
          <w:sz w:val="22"/>
        </w:rPr>
        <w:t xml:space="preserve"> at </w:t>
      </w:r>
      <w:r>
        <w:rPr>
          <w:rFonts w:ascii="Courier New" w:hAnsi="Courier New"/>
          <w:color w:val="1F4D78"/>
          <w:sz w:val="20"/>
        </w:rPr>
        <w:t>osdlp_tc.c:190</w:t>
      </w:r>
      <w:r>
        <w:rPr>
          <w:rFonts w:ascii="Calibri" w:hAnsi="Calibri"/>
          <w:sz w:val="22"/>
        </w:rPr>
        <w:t>.</w:t>
      </w:r>
    </w:p>
    <w:p>
      <w:pPr>
        <w:spacing w:after="80" w:line="300" w:lineRule="auto"/>
        <w:numPr>
          <w:ilvl w:val="0"/>
          <w:numId w:val="10"/>
        </w:numPr>
      </w:pPr>
      <w:r>
        <w:rPr>
          <w:rFonts w:ascii="Courier New" w:hAnsi="Courier New"/>
          <w:color w:val="1F4D78"/>
          <w:sz w:val="20"/>
        </w:rPr>
        <w:t>osdlp_tc_unpack</w:t>
      </w:r>
      <w:r>
        <w:rPr>
          <w:rFonts w:ascii="Calibri" w:hAnsi="Calibri"/>
          <w:sz w:val="22"/>
        </w:rPr>
        <w:t xml:space="preserve"> at </w:t>
      </w:r>
      <w:r>
        <w:rPr>
          <w:rFonts w:ascii="Courier New" w:hAnsi="Courier New"/>
          <w:color w:val="1F4D78"/>
          <w:sz w:val="20"/>
        </w:rPr>
        <w:t>osdlp_tc.c:110</w:t>
      </w:r>
      <w:r>
        <w:rPr>
          <w:rFonts w:ascii="Calibri" w:hAnsi="Calibri"/>
          <w:sz w:val="22"/>
        </w:rPr>
        <w:t>.</w:t>
      </w:r>
    </w:p>
    <w:p>
      <w:r>
        <w:rPr>
          <w:rFonts w:ascii="Calibri" w:hAnsi="Calibri"/>
          <w:sz w:val="22"/>
        </w:rPr>
        <w:t>Both executions terminate the fuzzing process. This is sufficient to confirm memory-safety defects in the tested host build. It is not sufficient to confirm that an external actor can reach either path in an integrated spacecraft, or that the observed process termination produces a mission-level denial of service.</w:t>
      </w:r>
    </w:p>
    <w:p>
      <w:r>
        <w:rPr>
          <w:rFonts w:ascii="Calibri" w:hAnsi="Calibri"/>
          <w:b/>
          <w:sz w:val="22"/>
        </w:rPr>
        <w:t>Decision required:</w:t>
      </w:r>
      <w:r>
        <w:rPr>
          <w:rFonts w:ascii="Calibri" w:hAnsi="Calibri"/>
          <w:sz w:val="22"/>
        </w:rPr>
        <w:t xml:space="preserve"> Do not approve the tested library revision for mission-critical telecommand processing until minimum-length validation is implemented, both crash cases are converted into regression tests, and the patched library is retested in its representative integration environment.</w:t>
      </w:r>
    </w:p>
    <w:p>
      <w:pPr>
        <w:pStyle w:val="Heading2"/>
      </w:pPr>
      <w:r>
        <w:rPr>
          <w:rFonts w:ascii="Calibri" w:hAnsi="Calibri"/>
          <w:color w:val="2E74B5"/>
          <w:sz w:val="26"/>
        </w:rPr>
        <w:t>3. Frame</w:t>
      </w:r>
    </w:p>
    <w:p>
      <w:pPr>
        <w:pStyle w:val="Heading3"/>
      </w:pPr>
      <w:r>
        <w:rPr>
          <w:rFonts w:ascii="Calibri" w:hAnsi="Calibri"/>
          <w:color w:val="1F4D78"/>
          <w:sz w:val="24"/>
        </w:rPr>
        <w:t>Mission Context Added by the Report Author</w:t>
      </w:r>
    </w:p>
    <w:p>
      <w:r>
        <w:rPr>
          <w:rFonts w:ascii="Calibri" w:hAnsi="Calibri"/>
          <w:sz w:val="22"/>
        </w:rPr>
        <w:t>The supplied source material does not identify a mission or integration architecture. For risk analysis, this report uses the following explicit assumption: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The OSDLP telecommand library is intended for a component whose availability and safe handling of malformed CCSDS telecommand inputs support spacecraft commandability and recoverability.</w:t>
            </w:r>
          </w:p>
        </w:tc>
      </w:tr>
    </w:tbl>
    <w:p>
      <w:pPr>
        <w:spacing w:after="20"/>
      </w:pPr>
    </w:p>
    <w:p>
      <w:r>
        <w:rPr>
          <w:rFonts w:ascii="Calibri" w:hAnsi="Calibri"/>
          <w:sz w:val="22"/>
        </w:rPr>
        <w:t>This assumption requires mission-owner confirmation.</w:t>
      </w:r>
    </w:p>
    <w:p>
      <w:pPr>
        <w:pStyle w:val="Heading3"/>
      </w:pPr>
      <w:r>
        <w:rPr>
          <w:rFonts w:ascii="Calibri" w:hAnsi="Calibri"/>
          <w:color w:val="1F4D78"/>
          <w:sz w:val="24"/>
        </w:rPr>
        <w:t>Scope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Item</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FARI Record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Primary asset</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AST-LIB-TC-001</w:t>
            </w:r>
            <w:r>
              <w:rPr>
                <w:rFonts w:ascii="Calibri" w:hAnsi="Calibri"/>
                <w:color w:val="0B2545"/>
                <w:sz w:val="18"/>
              </w:rPr>
              <w:t xml:space="preserve"> OSDLP telecommand receive/unpack library</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Segment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Space segment, assumed from protocol purpose; integration not supplied</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Access model</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White box, as stated by evidence producer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Environment</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Host-based dynamic fuzzing with libFuzzer and AddressSanitizer</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Claim</w:t>
            </w:r>
          </w:p>
        </w:tc>
        <w:tc>
          <w:tcPr>
            <w:tcW w:type="dxa" w:w="4680"/>
            <w:tcMar>
              <w:top w:w="80" w:type="dxa"/>
              <w:start w:w="120" w:type="dxa"/>
              <w:bottom w:w="80" w:type="dxa"/>
              <w:end w:w="120" w:type="dxa"/>
            </w:tcMar>
            <w:vAlign w:val="center"/>
          </w:tcPr>
          <w:p>
            <w:pPr>
              <w:spacing w:before="0" w:after="0"/>
            </w:pPr>
            <w:r>
              <w:rPr>
                <w:rFonts w:ascii="Courier New" w:hAnsi="Courier New"/>
                <w:color w:val="1F4D78"/>
                <w:sz w:val="18"/>
              </w:rPr>
              <w:t>CLM-LIB-001</w:t>
            </w:r>
            <w:r>
              <w:rPr>
                <w:rFonts w:ascii="Calibri" w:hAnsi="Calibri"/>
                <w:color w:val="0B2545"/>
                <w:sz w:val="18"/>
              </w:rPr>
              <w:t>: Truncated or malformed telecommand inputs are rejected without out-of-bounds memory access or process termination</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Explicit exclusions</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Integrated flight software, hardware, RF delivery, authentication, operational recovery, and on-orbit behavior</w:t>
            </w:r>
          </w:p>
        </w:tc>
      </w:tr>
    </w:tbl>
    <w:p>
      <w:pPr>
        <w:spacing w:after="20"/>
      </w:pPr>
    </w:p>
    <w:p>
      <w:pPr>
        <w:pStyle w:val="Heading3"/>
      </w:pPr>
      <w:r>
        <w:rPr>
          <w:rFonts w:ascii="Calibri" w:hAnsi="Calibri"/>
          <w:color w:val="1F4D78"/>
          <w:sz w:val="24"/>
        </w:rPr>
        <w:t>Authorization</w:t>
      </w:r>
    </w:p>
    <w:p>
      <w:r>
        <w:rPr>
          <w:rFonts w:ascii="Calibri" w:hAnsi="Calibri"/>
          <w:sz w:val="22"/>
        </w:rPr>
        <w:t>No authorization reference, rules of engagement, test date, or evidence handling instructions were supplied. The test appears limited to a local host build, but this remains a source-material gap.</w:t>
      </w:r>
    </w:p>
    <w:p>
      <w:pPr>
        <w:pStyle w:val="Heading2"/>
      </w:pPr>
      <w:r>
        <w:rPr>
          <w:rFonts w:ascii="Calibri" w:hAnsi="Calibri"/>
          <w:color w:val="2E74B5"/>
          <w:sz w:val="26"/>
        </w:rPr>
        <w:t>4. Acquire: Source-Material Intake Review</w:t>
      </w:r>
    </w:p>
    <w:p>
      <w:pPr>
        <w:pStyle w:val="Heading3"/>
      </w:pPr>
      <w:r>
        <w:rPr>
          <w:rFonts w:ascii="Calibri" w:hAnsi="Calibri"/>
          <w:color w:val="1F4D78"/>
          <w:sz w:val="24"/>
        </w:rPr>
        <w:t>Method Runs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Run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Method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Supplied Result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RUN-LIB-001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libFuzzer against </w:t>
            </w:r>
            <w:r>
              <w:rPr>
                <w:rFonts w:ascii="Courier New" w:hAnsi="Courier New"/>
                <w:color w:val="1F4D78"/>
                <w:sz w:val="18"/>
              </w:rPr>
              <w:t>libfuzzer_tc_receive</w:t>
            </w:r>
            <w:r>
              <w:rPr>
                <w:rFonts w:ascii="Calibri" w:hAnsi="Calibri"/>
                <w:color w:val="0B2545"/>
                <w:sz w:val="18"/>
              </w:rPr>
              <w:t xml:space="preserve"> with AddressSanitizer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Heap-buffer-overflow read at </w:t>
            </w:r>
            <w:r>
              <w:rPr>
                <w:rFonts w:ascii="Courier New" w:hAnsi="Courier New"/>
                <w:color w:val="1F4D78"/>
                <w:sz w:val="18"/>
              </w:rPr>
              <w:t>osdlp_tc.c:190</w:t>
            </w:r>
            <w:r>
              <w:rPr>
                <w:rFonts w:ascii="Calibri" w:hAnsi="Calibri"/>
                <w:color w:val="0B2545"/>
                <w:sz w:val="18"/>
              </w:rPr>
              <w:t>; process abort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RUN-LIB-002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libFuzzer against </w:t>
            </w:r>
            <w:r>
              <w:rPr>
                <w:rFonts w:ascii="Courier New" w:hAnsi="Courier New"/>
                <w:color w:val="1F4D78"/>
                <w:sz w:val="18"/>
              </w:rPr>
              <w:t>libfuzzer_tc_stream</w:t>
            </w:r>
            <w:r>
              <w:rPr>
                <w:rFonts w:ascii="Calibri" w:hAnsi="Calibri"/>
                <w:color w:val="0B2545"/>
                <w:sz w:val="18"/>
              </w:rPr>
              <w:t xml:space="preserve"> with AddressSanitizer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Heap-buffer-overflow read at </w:t>
            </w:r>
            <w:r>
              <w:rPr>
                <w:rFonts w:ascii="Courier New" w:hAnsi="Courier New"/>
                <w:color w:val="1F4D78"/>
                <w:sz w:val="18"/>
              </w:rPr>
              <w:t>osdlp_tc.c:110</w:t>
            </w:r>
            <w:r>
              <w:rPr>
                <w:rFonts w:ascii="Calibri" w:hAnsi="Calibri"/>
                <w:color w:val="0B2545"/>
                <w:sz w:val="18"/>
              </w:rPr>
              <w:t>; process abort</w:t>
            </w:r>
          </w:p>
        </w:tc>
      </w:tr>
    </w:tbl>
    <w:p>
      <w:pPr>
        <w:spacing w:after="20"/>
      </w:pPr>
    </w:p>
    <w:p>
      <w:pPr>
        <w:pStyle w:val="Heading3"/>
      </w:pPr>
      <w:r>
        <w:rPr>
          <w:rFonts w:ascii="Calibri" w:hAnsi="Calibri"/>
          <w:color w:val="1F4D78"/>
          <w:sz w:val="24"/>
        </w:rPr>
        <w:t>Evidence-Backed Facts</w:t>
      </w:r>
    </w:p>
    <w:p>
      <w:pPr>
        <w:pStyle w:val="ListBullet"/>
      </w:pPr>
      <w:r>
        <w:rPr>
          <w:rFonts w:ascii="Calibri" w:hAnsi="Calibri"/>
          <w:sz w:val="22"/>
        </w:rPr>
        <w:t xml:space="preserve">The project builds libFuzzer targets including </w:t>
      </w:r>
      <w:r>
        <w:rPr>
          <w:rFonts w:ascii="Courier New" w:hAnsi="Courier New"/>
          <w:color w:val="1F4D78"/>
          <w:sz w:val="20"/>
        </w:rPr>
        <w:t>libfuzzer_tc_receive</w:t>
      </w:r>
      <w:r>
        <w:rPr>
          <w:rFonts w:ascii="Calibri" w:hAnsi="Calibri"/>
          <w:sz w:val="22"/>
        </w:rPr>
        <w:t xml:space="preserve"> and </w:t>
      </w:r>
      <w:r>
        <w:rPr>
          <w:rFonts w:ascii="Courier New" w:hAnsi="Courier New"/>
          <w:color w:val="1F4D78"/>
          <w:sz w:val="20"/>
        </w:rPr>
        <w:t>libfuzzer_tc_stream</w:t>
      </w:r>
      <w:r>
        <w:rPr>
          <w:rFonts w:ascii="Calibri" w:hAnsi="Calibri"/>
          <w:sz w:val="22"/>
        </w:rPr>
        <w:t>.</w:t>
      </w:r>
    </w:p>
    <w:p>
      <w:pPr>
        <w:pStyle w:val="ListBullet"/>
      </w:pPr>
      <w:r>
        <w:rPr>
          <w:rFonts w:ascii="Courier New" w:hAnsi="Courier New"/>
          <w:color w:val="1F4D78"/>
          <w:sz w:val="20"/>
        </w:rPr>
        <w:t>RUN-LIB-001</w:t>
      </w:r>
      <w:r>
        <w:rPr>
          <w:rFonts w:ascii="Calibri" w:hAnsi="Calibri"/>
          <w:sz w:val="22"/>
        </w:rPr>
        <w:t xml:space="preserve"> reports an AddressSanitizer heap-buffer-overflow read of one byte in </w:t>
      </w:r>
      <w:r>
        <w:rPr>
          <w:rFonts w:ascii="Courier New" w:hAnsi="Courier New"/>
          <w:color w:val="1F4D78"/>
          <w:sz w:val="20"/>
        </w:rPr>
        <w:t>osdlp_tc_receive</w:t>
      </w:r>
      <w:r>
        <w:rPr>
          <w:rFonts w:ascii="Calibri" w:hAnsi="Calibri"/>
          <w:sz w:val="22"/>
        </w:rPr>
        <w:t xml:space="preserve"> at </w:t>
      </w:r>
      <w:r>
        <w:rPr>
          <w:rFonts w:ascii="Courier New" w:hAnsi="Courier New"/>
          <w:color w:val="1F4D78"/>
          <w:sz w:val="20"/>
        </w:rPr>
        <w:t>osdlp_tc.c:190</w:t>
      </w:r>
      <w:r>
        <w:rPr>
          <w:rFonts w:ascii="Calibri" w:hAnsi="Calibri"/>
          <w:sz w:val="22"/>
        </w:rPr>
        <w:t>.</w:t>
      </w:r>
    </w:p>
    <w:p>
      <w:pPr>
        <w:pStyle w:val="ListBullet"/>
      </w:pPr>
      <w:r>
        <w:rPr>
          <w:rFonts w:ascii="Calibri" w:hAnsi="Calibri"/>
          <w:sz w:val="22"/>
        </w:rPr>
        <w:t xml:space="preserve">The accessed address in </w:t>
      </w:r>
      <w:r>
        <w:rPr>
          <w:rFonts w:ascii="Courier New" w:hAnsi="Courier New"/>
          <w:color w:val="1F4D78"/>
          <w:sz w:val="20"/>
        </w:rPr>
        <w:t>RUN-LIB-001</w:t>
      </w:r>
      <w:r>
        <w:rPr>
          <w:rFonts w:ascii="Calibri" w:hAnsi="Calibri"/>
          <w:sz w:val="22"/>
        </w:rPr>
        <w:t xml:space="preserve"> is one byte beyond a one-byte allocated region.</w:t>
      </w:r>
    </w:p>
    <w:p>
      <w:pPr>
        <w:pStyle w:val="ListBullet"/>
      </w:pPr>
      <w:r>
        <w:rPr>
          <w:rFonts w:ascii="Courier New" w:hAnsi="Courier New"/>
          <w:color w:val="1F4D78"/>
          <w:sz w:val="20"/>
        </w:rPr>
        <w:t>RUN-LIB-001</w:t>
      </w:r>
      <w:r>
        <w:rPr>
          <w:rFonts w:ascii="Calibri" w:hAnsi="Calibri"/>
          <w:sz w:val="22"/>
        </w:rPr>
        <w:t xml:space="preserve"> aborts and writes </w:t>
      </w:r>
      <w:r>
        <w:rPr>
          <w:rFonts w:ascii="Courier New" w:hAnsi="Courier New"/>
          <w:color w:val="1F4D78"/>
          <w:sz w:val="20"/>
        </w:rPr>
        <w:t>crash-da39a3ee5e6b4b0d3255bfef95601890afd80709</w:t>
      </w:r>
      <w:r>
        <w:rPr>
          <w:rFonts w:ascii="Calibri" w:hAnsi="Calibri"/>
          <w:sz w:val="22"/>
        </w:rPr>
        <w:t>.</w:t>
      </w:r>
    </w:p>
    <w:p>
      <w:pPr>
        <w:pStyle w:val="ListBullet"/>
      </w:pPr>
      <w:r>
        <w:rPr>
          <w:rFonts w:ascii="Courier New" w:hAnsi="Courier New"/>
          <w:color w:val="1F4D78"/>
          <w:sz w:val="20"/>
        </w:rPr>
        <w:t>RUN-LIB-002</w:t>
      </w:r>
      <w:r>
        <w:rPr>
          <w:rFonts w:ascii="Calibri" w:hAnsi="Calibri"/>
          <w:sz w:val="22"/>
        </w:rPr>
        <w:t xml:space="preserve"> reports an AddressSanitizer heap-buffer-overflow read of one byte in </w:t>
      </w:r>
      <w:r>
        <w:rPr>
          <w:rFonts w:ascii="Courier New" w:hAnsi="Courier New"/>
          <w:color w:val="1F4D78"/>
          <w:sz w:val="20"/>
        </w:rPr>
        <w:t>osdlp_tc_unpack</w:t>
      </w:r>
      <w:r>
        <w:rPr>
          <w:rFonts w:ascii="Calibri" w:hAnsi="Calibri"/>
          <w:sz w:val="22"/>
        </w:rPr>
        <w:t xml:space="preserve"> at </w:t>
      </w:r>
      <w:r>
        <w:rPr>
          <w:rFonts w:ascii="Courier New" w:hAnsi="Courier New"/>
          <w:color w:val="1F4D78"/>
          <w:sz w:val="20"/>
        </w:rPr>
        <w:t>osdlp_tc.c:110</w:t>
      </w:r>
      <w:r>
        <w:rPr>
          <w:rFonts w:ascii="Calibri" w:hAnsi="Calibri"/>
          <w:sz w:val="22"/>
        </w:rPr>
        <w:t>.</w:t>
      </w:r>
    </w:p>
    <w:p>
      <w:pPr>
        <w:pStyle w:val="ListBullet"/>
      </w:pPr>
      <w:r>
        <w:rPr>
          <w:rFonts w:ascii="Calibri" w:hAnsi="Calibri"/>
          <w:sz w:val="22"/>
        </w:rPr>
        <w:t xml:space="preserve">The accessed address in </w:t>
      </w:r>
      <w:r>
        <w:rPr>
          <w:rFonts w:ascii="Courier New" w:hAnsi="Courier New"/>
          <w:color w:val="1F4D78"/>
          <w:sz w:val="20"/>
        </w:rPr>
        <w:t>RUN-LIB-002</w:t>
      </w:r>
      <w:r>
        <w:rPr>
          <w:rFonts w:ascii="Calibri" w:hAnsi="Calibri"/>
          <w:sz w:val="22"/>
        </w:rPr>
        <w:t xml:space="preserve"> is immediately after a five-byte allocated region.</w:t>
      </w:r>
    </w:p>
    <w:p>
      <w:pPr>
        <w:pStyle w:val="ListBullet"/>
      </w:pPr>
      <w:r>
        <w:rPr>
          <w:rFonts w:ascii="Courier New" w:hAnsi="Courier New"/>
          <w:color w:val="1F4D78"/>
          <w:sz w:val="20"/>
        </w:rPr>
        <w:t>RUN-LIB-002</w:t>
      </w:r>
      <w:r>
        <w:rPr>
          <w:rFonts w:ascii="Calibri" w:hAnsi="Calibri"/>
          <w:sz w:val="22"/>
        </w:rPr>
        <w:t xml:space="preserve"> aborts and writes </w:t>
      </w:r>
      <w:r>
        <w:rPr>
          <w:rFonts w:ascii="Courier New" w:hAnsi="Courier New"/>
          <w:color w:val="1F4D78"/>
          <w:sz w:val="20"/>
        </w:rPr>
        <w:t>crash-b32c221e6c807b39bfed6c0169f594cdae9da48a</w:t>
      </w:r>
      <w:r>
        <w:rPr>
          <w:rFonts w:ascii="Calibri" w:hAnsi="Calibri"/>
          <w:sz w:val="22"/>
        </w:rPr>
        <w:t>.</w:t>
      </w:r>
    </w:p>
    <w:p>
      <w:pPr>
        <w:pStyle w:val="ListBullet"/>
      </w:pPr>
      <w:r>
        <w:rPr>
          <w:rFonts w:ascii="Calibri" w:hAnsi="Calibri"/>
          <w:sz w:val="22"/>
        </w:rPr>
        <w:t xml:space="preserve">The minimized input shown for </w:t>
      </w:r>
      <w:r>
        <w:rPr>
          <w:rFonts w:ascii="Courier New" w:hAnsi="Courier New"/>
          <w:color w:val="1F4D78"/>
          <w:sz w:val="20"/>
        </w:rPr>
        <w:t>RUN-LIB-002</w:t>
      </w:r>
      <w:r>
        <w:rPr>
          <w:rFonts w:ascii="Calibri" w:hAnsi="Calibri"/>
          <w:sz w:val="22"/>
        </w:rPr>
        <w:t xml:space="preserve"> is </w:t>
      </w:r>
      <w:r>
        <w:rPr>
          <w:rFonts w:ascii="Courier New" w:hAnsi="Courier New"/>
          <w:color w:val="1F4D78"/>
          <w:sz w:val="20"/>
        </w:rPr>
        <w:t>AQAFAAgAAAcaAA==</w:t>
      </w:r>
      <w:r>
        <w:rPr>
          <w:rFonts w:ascii="Calibri" w:hAnsi="Calibri"/>
          <w:sz w:val="22"/>
        </w:rPr>
        <w:t>.</w:t>
      </w:r>
    </w:p>
    <w:p>
      <w:pPr>
        <w:pStyle w:val="Heading3"/>
      </w:pPr>
      <w:r>
        <w:rPr>
          <w:rFonts w:ascii="Calibri" w:hAnsi="Calibri"/>
          <w:color w:val="1F4D78"/>
          <w:sz w:val="24"/>
        </w:rPr>
        <w:t>Evidence-Producer Assertions</w:t>
      </w:r>
    </w:p>
    <w:p>
      <w:pPr>
        <w:pStyle w:val="ListBullet"/>
      </w:pPr>
      <w:r>
        <w:rPr>
          <w:rFonts w:ascii="Calibri" w:hAnsi="Calibri"/>
          <w:sz w:val="22"/>
        </w:rPr>
        <w:t>The client requested validation that its developed libraries do not contain vulnerabilities.</w:t>
      </w:r>
    </w:p>
    <w:p>
      <w:pPr>
        <w:pStyle w:val="ListBullet"/>
      </w:pPr>
      <w:r>
        <w:rPr>
          <w:rFonts w:ascii="Calibri" w:hAnsi="Calibri"/>
          <w:sz w:val="22"/>
        </w:rPr>
        <w:t>The engagement is described as white box and static/offline analysis.</w:t>
      </w:r>
    </w:p>
    <w:p>
      <w:pPr>
        <w:pStyle w:val="ListBullet"/>
      </w:pPr>
      <w:r>
        <w:rPr>
          <w:rFonts w:ascii="Calibri" w:hAnsi="Calibri"/>
          <w:sz w:val="22"/>
        </w:rPr>
        <w:t>The evidence producer concludes that the library contains denial-of-service behavior in multiple packets.</w:t>
      </w:r>
    </w:p>
    <w:p>
      <w:pPr>
        <w:pStyle w:val="ListBullet"/>
      </w:pPr>
      <w:r>
        <w:rPr>
          <w:rFonts w:ascii="Calibri" w:hAnsi="Calibri"/>
          <w:sz w:val="22"/>
        </w:rPr>
        <w:t xml:space="preserve">The evidence producer proposes SPARTA </w:t>
      </w:r>
      <w:r>
        <w:rPr>
          <w:rFonts w:ascii="Courier New" w:hAnsi="Courier New"/>
          <w:color w:val="1F4D78"/>
          <w:sz w:val="20"/>
        </w:rPr>
        <w:t>EX-0005.01 Design Flaws</w:t>
      </w:r>
      <w:r>
        <w:rPr>
          <w:rFonts w:ascii="Calibri" w:hAnsi="Calibri"/>
          <w:sz w:val="22"/>
        </w:rPr>
        <w:t>.</w:t>
      </w:r>
    </w:p>
    <w:p>
      <w:pPr>
        <w:pStyle w:val="Heading3"/>
      </w:pPr>
      <w:r>
        <w:rPr>
          <w:rFonts w:ascii="Calibri" w:hAnsi="Calibri"/>
          <w:color w:val="1F4D78"/>
          <w:sz w:val="24"/>
        </w:rPr>
        <w:t>Report-Author Inferences</w:t>
      </w:r>
    </w:p>
    <w:p>
      <w:pPr>
        <w:pStyle w:val="ListBullet"/>
      </w:pPr>
      <w:r>
        <w:rPr>
          <w:rFonts w:ascii="Calibri" w:hAnsi="Calibri"/>
          <w:sz w:val="22"/>
        </w:rPr>
        <w:t>The logs demonstrate dynamic fuzzing, not only static/offline analysis.</w:t>
      </w:r>
    </w:p>
    <w:p>
      <w:pPr>
        <w:pStyle w:val="ListBullet"/>
      </w:pPr>
      <w:r>
        <w:rPr>
          <w:rFonts w:ascii="Calibri" w:hAnsi="Calibri"/>
          <w:sz w:val="22"/>
        </w:rPr>
        <w:t>Process termination establishes an availability effect in the fuzz harness.</w:t>
      </w:r>
    </w:p>
    <w:p>
      <w:pPr>
        <w:pStyle w:val="ListBullet"/>
      </w:pPr>
      <w:r>
        <w:rPr>
          <w:rFonts w:ascii="Calibri" w:hAnsi="Calibri"/>
          <w:sz w:val="22"/>
        </w:rPr>
        <w:t>Two separate telecommand code paths exhibit insufficient minimum-length validation or equivalent unsafe buffer access behavior.</w:t>
      </w:r>
    </w:p>
    <w:p>
      <w:pPr>
        <w:pStyle w:val="ListBullet"/>
      </w:pPr>
      <w:r>
        <w:rPr>
          <w:rFonts w:ascii="Calibri" w:hAnsi="Calibri"/>
          <w:sz w:val="22"/>
        </w:rPr>
        <w:t>A mission-level denial of service is credible if untrusted input can reach the affected code in a mission-critical process, but reachability and integration effects are not demonstrated.</w:t>
      </w:r>
    </w:p>
    <w:p>
      <w:pPr>
        <w:pStyle w:val="Heading3"/>
      </w:pPr>
      <w:r>
        <w:rPr>
          <w:rFonts w:ascii="Calibri" w:hAnsi="Calibri"/>
          <w:color w:val="1F4D78"/>
          <w:sz w:val="24"/>
        </w:rPr>
        <w:t>Assumptions</w:t>
      </w:r>
    </w:p>
    <w:p>
      <w:pPr>
        <w:pStyle w:val="ListBullet"/>
      </w:pPr>
      <w:r>
        <w:rPr>
          <w:rFonts w:ascii="Calibri" w:hAnsi="Calibri"/>
          <w:sz w:val="22"/>
        </w:rPr>
        <w:t>The tested source represents the revision intended for spacecraft or spacecraft-supporting integration.</w:t>
      </w:r>
    </w:p>
    <w:p>
      <w:pPr>
        <w:pStyle w:val="ListBullet"/>
      </w:pPr>
      <w:r>
        <w:rPr>
          <w:rFonts w:ascii="Calibri" w:hAnsi="Calibri"/>
          <w:sz w:val="22"/>
        </w:rPr>
        <w:t>The fuzz harness invokes the library APIs in a way permitted by their contracts.</w:t>
      </w:r>
    </w:p>
    <w:p>
      <w:pPr>
        <w:pStyle w:val="ListBullet"/>
      </w:pPr>
      <w:r>
        <w:rPr>
          <w:rFonts w:ascii="Calibri" w:hAnsi="Calibri"/>
          <w:sz w:val="22"/>
        </w:rPr>
        <w:t>No upstream component is guaranteed to reject the triggering inputs.</w:t>
      </w:r>
    </w:p>
    <w:p>
      <w:pPr>
        <w:pStyle w:val="Heading3"/>
      </w:pPr>
      <w:r>
        <w:rPr>
          <w:rFonts w:ascii="Calibri" w:hAnsi="Calibri"/>
          <w:color w:val="1F4D78"/>
          <w:sz w:val="24"/>
        </w:rPr>
        <w:t>Contradictions and Quality Issues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Issue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Reporting Decision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Environment is labeled static/offline, but supplied evidence is dynamic fuzzing</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uses the directly evidenced dynamic-fuzzing environment</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GAP-LIB-002</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“DoS in several packets” is broader than the supplied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Report confirms two code-path crashes and treats mission DoS as a candidate consequence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GAP-LIB-003</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Proposed </w:t>
            </w:r>
            <w:r>
              <w:rPr>
                <w:rFonts w:ascii="Courier New" w:hAnsi="Courier New"/>
                <w:color w:val="1F4D78"/>
                <w:sz w:val="18"/>
              </w:rPr>
              <w:t>EX-0005.01</w:t>
            </w:r>
            <w:r>
              <w:rPr>
                <w:rFonts w:ascii="Calibri" w:hAnsi="Calibri"/>
                <w:color w:val="0B2545"/>
                <w:sz w:val="18"/>
              </w:rPr>
              <w:t xml:space="preserve"> mapping concerns hardware/firmware design flaws and is not the strongest description of the demonstrated C library defect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Report uses </w:t>
            </w:r>
            <w:r>
              <w:rPr>
                <w:rFonts w:ascii="Courier New" w:hAnsi="Courier New"/>
                <w:color w:val="1F4D78"/>
                <w:sz w:val="18"/>
              </w:rPr>
              <w:t>EX-0009</w:t>
            </w:r>
            <w:r>
              <w:rPr>
                <w:rFonts w:ascii="Calibri" w:hAnsi="Calibri"/>
                <w:color w:val="0B2545"/>
                <w:sz w:val="18"/>
              </w:rPr>
              <w:t xml:space="preserve"> and treats </w:t>
            </w:r>
            <w:r>
              <w:rPr>
                <w:rFonts w:ascii="Courier New" w:hAnsi="Courier New"/>
                <w:color w:val="1F4D78"/>
                <w:sz w:val="18"/>
              </w:rPr>
              <w:t>EX-0009.01</w:t>
            </w:r>
            <w:r>
              <w:rPr>
                <w:rFonts w:ascii="Calibri" w:hAnsi="Calibri"/>
                <w:color w:val="0B2545"/>
                <w:sz w:val="18"/>
              </w:rPr>
              <w:t xml:space="preserve"> as candidate pending integration context</w:t>
            </w:r>
          </w:p>
        </w:tc>
      </w:tr>
    </w:tbl>
    <w:p>
      <w:pPr>
        <w:spacing w:after="20"/>
      </w:pPr>
    </w:p>
    <w:p>
      <w:pPr>
        <w:pStyle w:val="Heading3"/>
      </w:pPr>
      <w:r>
        <w:rPr>
          <w:rFonts w:ascii="Calibri" w:hAnsi="Calibri"/>
          <w:color w:val="1F4D78"/>
          <w:sz w:val="24"/>
        </w:rPr>
        <w:t>Sufficiency Decision</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Question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Decision</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Technical condition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Two direct AddressSanitizer traces identify out-of-bounds reads and process aborts</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External / operational reachability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Insufficient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integration, protocol-boundary, authentication, or RF evidence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consequence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Partial</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Availability effect is observed in the harness; mission effect is inferred</w:t>
            </w:r>
          </w:p>
        </w:tc>
      </w:tr>
    </w:tbl>
    <w:p>
      <w:pPr>
        <w:spacing w:after="20"/>
      </w:pPr>
    </w:p>
    <w:p>
      <w:pPr>
        <w:pStyle w:val="Heading2"/>
      </w:pPr>
      <w:r>
        <w:rPr>
          <w:rFonts w:ascii="Calibri" w:hAnsi="Calibri"/>
          <w:color w:val="2E74B5"/>
          <w:sz w:val="26"/>
        </w:rPr>
        <w:t>5. Relate: Findings and Mission Context</w:t>
      </w:r>
    </w:p>
    <w:p>
      <w:pPr>
        <w:pStyle w:val="Heading3"/>
      </w:pPr>
      <w:r>
        <w:rPr>
          <w:rFonts w:ascii="Calibri" w:hAnsi="Calibri"/>
          <w:color w:val="1F4D78"/>
          <w:sz w:val="24"/>
        </w:rPr>
        <w:t xml:space="preserve">FND-LIB-001: Truncated Input Causes Out-of-Bounds Read in </w:t>
      </w:r>
      <w:r>
        <w:rPr>
          <w:rFonts w:ascii="Courier New" w:hAnsi="Courier New"/>
          <w:color w:val="1F4D78"/>
          <w:sz w:val="22"/>
        </w:rPr>
        <w:t>osdlp_tc_receive</w:t>
      </w:r>
    </w:p>
    <w:p>
      <w:pPr>
        <w:pStyle w:val="ListBullet"/>
      </w:pPr>
      <w:r>
        <w:rPr>
          <w:rFonts w:ascii="Calibri" w:hAnsi="Calibri"/>
          <w:b/>
          <w:sz w:val="22"/>
        </w:rPr>
        <w:t>State:</w:t>
      </w:r>
      <w:r>
        <w:rPr>
          <w:rFonts w:ascii="Calibri" w:hAnsi="Calibri"/>
          <w:sz w:val="22"/>
        </w:rPr>
        <w:t xml:space="preserve"> Confirmed</w:t>
      </w:r>
    </w:p>
    <w:p>
      <w:pPr>
        <w:pStyle w:val="ListBullet"/>
      </w:pPr>
      <w:r>
        <w:rPr>
          <w:rFonts w:ascii="Calibri" w:hAnsi="Calibri"/>
          <w:b/>
          <w:sz w:val="22"/>
        </w:rPr>
        <w:t>Condition:</w:t>
      </w:r>
      <w:r>
        <w:rPr>
          <w:rFonts w:ascii="Calibri" w:hAnsi="Calibri"/>
          <w:sz w:val="22"/>
        </w:rPr>
        <w:t xml:space="preserve"> The tested receive path reads beyond a one-byte allocation.</w:t>
      </w:r>
    </w:p>
    <w:p>
      <w:pPr>
        <w:pStyle w:val="ListBullet"/>
      </w:pPr>
      <w:r>
        <w:rPr>
          <w:rFonts w:ascii="Calibri" w:hAnsi="Calibri"/>
          <w:b/>
          <w:sz w:val="22"/>
        </w:rPr>
        <w:t>Observed effect:</w:t>
      </w:r>
      <w:r>
        <w:rPr>
          <w:rFonts w:ascii="Calibri" w:hAnsi="Calibri"/>
          <w:sz w:val="22"/>
        </w:rPr>
        <w:t xml:space="preserve"> AddressSanitizer detects a heap-buffer-overflow at </w:t>
      </w:r>
      <w:r>
        <w:rPr>
          <w:rFonts w:ascii="Courier New" w:hAnsi="Courier New"/>
          <w:color w:val="1F4D78"/>
          <w:sz w:val="20"/>
        </w:rPr>
        <w:t>osdlp_tc.c:190</w:t>
      </w:r>
      <w:r>
        <w:rPr>
          <w:rFonts w:ascii="Calibri" w:hAnsi="Calibri"/>
          <w:sz w:val="22"/>
        </w:rPr>
        <w:t>; the fuzz process aborts.</w:t>
      </w:r>
    </w:p>
    <w:p>
      <w:pPr>
        <w:pStyle w:val="ListBullet"/>
      </w:pPr>
      <w:r>
        <w:rPr>
          <w:rFonts w:ascii="Calibri" w:hAnsi="Calibri"/>
          <w:b/>
          <w:sz w:val="22"/>
        </w:rPr>
        <w:t>Preconditions:</w:t>
      </w:r>
      <w:r>
        <w:rPr>
          <w:rFonts w:ascii="Calibri" w:hAnsi="Calibri"/>
          <w:sz w:val="22"/>
        </w:rPr>
        <w:t xml:space="preserve"> A sufficiently short input reaches the affected API under conditions represented by the fuzz harness.</w:t>
      </w:r>
    </w:p>
    <w:p>
      <w:pPr>
        <w:pStyle w:val="ListBullet"/>
      </w:pPr>
      <w:r>
        <w:rPr>
          <w:rFonts w:ascii="Calibri" w:hAnsi="Calibri"/>
          <w:b/>
          <w:sz w:val="22"/>
        </w:rPr>
        <w:t>Credible mission consequence:</w:t>
      </w:r>
      <w:r>
        <w:rPr>
          <w:rFonts w:ascii="Calibri" w:hAnsi="Calibri"/>
          <w:sz w:val="22"/>
        </w:rPr>
        <w:t xml:space="preserve"> If reachable in an integrated mission-critical process, malformed input may terminate or destabilize telecommand processing.</w:t>
      </w:r>
    </w:p>
    <w:p>
      <w:pPr>
        <w:pStyle w:val="ListBullet"/>
      </w:pPr>
      <w:r>
        <w:rPr>
          <w:rFonts w:ascii="Calibri" w:hAnsi="Calibri"/>
          <w:b/>
          <w:sz w:val="22"/>
        </w:rPr>
        <w:t>Technical confidence:</w:t>
      </w:r>
      <w:r>
        <w:rPr>
          <w:rFonts w:ascii="Calibri" w:hAnsi="Calibri"/>
          <w:sz w:val="22"/>
        </w:rPr>
        <w:t xml:space="preserve"> High</w:t>
      </w:r>
    </w:p>
    <w:p>
      <w:pPr>
        <w:pStyle w:val="ListBullet"/>
      </w:pPr>
      <w:r>
        <w:rPr>
          <w:rFonts w:ascii="Calibri" w:hAnsi="Calibri"/>
          <w:b/>
          <w:sz w:val="22"/>
        </w:rPr>
        <w:t>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 xml:space="preserve">FND-LIB-002: Short Stream Causes Out-of-Bounds Read in </w:t>
      </w:r>
      <w:r>
        <w:rPr>
          <w:rFonts w:ascii="Courier New" w:hAnsi="Courier New"/>
          <w:color w:val="1F4D78"/>
          <w:sz w:val="22"/>
        </w:rPr>
        <w:t>osdlp_tc_unpack</w:t>
      </w:r>
    </w:p>
    <w:p>
      <w:pPr>
        <w:pStyle w:val="ListBullet"/>
      </w:pPr>
      <w:r>
        <w:rPr>
          <w:rFonts w:ascii="Calibri" w:hAnsi="Calibri"/>
          <w:b/>
          <w:sz w:val="22"/>
        </w:rPr>
        <w:t>State:</w:t>
      </w:r>
      <w:r>
        <w:rPr>
          <w:rFonts w:ascii="Calibri" w:hAnsi="Calibri"/>
          <w:sz w:val="22"/>
        </w:rPr>
        <w:t xml:space="preserve"> Confirmed</w:t>
      </w:r>
    </w:p>
    <w:p>
      <w:pPr>
        <w:pStyle w:val="ListBullet"/>
      </w:pPr>
      <w:r>
        <w:rPr>
          <w:rFonts w:ascii="Calibri" w:hAnsi="Calibri"/>
          <w:b/>
          <w:sz w:val="22"/>
        </w:rPr>
        <w:t>Condition:</w:t>
      </w:r>
      <w:r>
        <w:rPr>
          <w:rFonts w:ascii="Calibri" w:hAnsi="Calibri"/>
          <w:sz w:val="22"/>
        </w:rPr>
        <w:t xml:space="preserve"> The tested unpack path reads immediately beyond a five-byte allocation.</w:t>
      </w:r>
    </w:p>
    <w:p>
      <w:pPr>
        <w:pStyle w:val="ListBullet"/>
      </w:pPr>
      <w:r>
        <w:rPr>
          <w:rFonts w:ascii="Calibri" w:hAnsi="Calibri"/>
          <w:b/>
          <w:sz w:val="22"/>
        </w:rPr>
        <w:t>Observed effect:</w:t>
      </w:r>
      <w:r>
        <w:rPr>
          <w:rFonts w:ascii="Calibri" w:hAnsi="Calibri"/>
          <w:sz w:val="22"/>
        </w:rPr>
        <w:t xml:space="preserve"> AddressSanitizer detects a heap-buffer-overflow at </w:t>
      </w:r>
      <w:r>
        <w:rPr>
          <w:rFonts w:ascii="Courier New" w:hAnsi="Courier New"/>
          <w:color w:val="1F4D78"/>
          <w:sz w:val="20"/>
        </w:rPr>
        <w:t>osdlp_tc.c:110</w:t>
      </w:r>
      <w:r>
        <w:rPr>
          <w:rFonts w:ascii="Calibri" w:hAnsi="Calibri"/>
          <w:sz w:val="22"/>
        </w:rPr>
        <w:t>; the fuzz process aborts.</w:t>
      </w:r>
    </w:p>
    <w:p>
      <w:pPr>
        <w:pStyle w:val="ListBullet"/>
      </w:pPr>
      <w:r>
        <w:rPr>
          <w:rFonts w:ascii="Calibri" w:hAnsi="Calibri"/>
          <w:b/>
          <w:sz w:val="22"/>
        </w:rPr>
        <w:t>Preconditions:</w:t>
      </w:r>
      <w:r>
        <w:rPr>
          <w:rFonts w:ascii="Calibri" w:hAnsi="Calibri"/>
          <w:sz w:val="22"/>
        </w:rPr>
        <w:t xml:space="preserve"> A short stream equivalent to the supplied minimized input reaches the affected API under fuzz-harness conditions.</w:t>
      </w:r>
    </w:p>
    <w:p>
      <w:pPr>
        <w:pStyle w:val="ListBullet"/>
      </w:pPr>
      <w:r>
        <w:rPr>
          <w:rFonts w:ascii="Calibri" w:hAnsi="Calibri"/>
          <w:b/>
          <w:sz w:val="22"/>
        </w:rPr>
        <w:t>Credible mission consequence:</w:t>
      </w:r>
      <w:r>
        <w:rPr>
          <w:rFonts w:ascii="Calibri" w:hAnsi="Calibri"/>
          <w:sz w:val="22"/>
        </w:rPr>
        <w:t xml:space="preserve"> If reachable in an integrated mission-critical process, malformed input may interrupt telecommand handling.</w:t>
      </w:r>
    </w:p>
    <w:p>
      <w:pPr>
        <w:pStyle w:val="ListBullet"/>
      </w:pPr>
      <w:r>
        <w:rPr>
          <w:rFonts w:ascii="Calibri" w:hAnsi="Calibri"/>
          <w:b/>
          <w:sz w:val="22"/>
        </w:rPr>
        <w:t>Technical confidence:</w:t>
      </w:r>
      <w:r>
        <w:rPr>
          <w:rFonts w:ascii="Calibri" w:hAnsi="Calibri"/>
          <w:sz w:val="22"/>
        </w:rPr>
        <w:t xml:space="preserve"> High</w:t>
      </w:r>
    </w:p>
    <w:p>
      <w:pPr>
        <w:pStyle w:val="ListBullet"/>
      </w:pPr>
      <w:r>
        <w:rPr>
          <w:rFonts w:ascii="Calibri" w:hAnsi="Calibri"/>
          <w:b/>
          <w:sz w:val="22"/>
        </w:rPr>
        <w:t>Reachability confidence:</w:t>
      </w:r>
      <w:r>
        <w:rPr>
          <w:rFonts w:ascii="Calibri" w:hAnsi="Calibri"/>
          <w:sz w:val="22"/>
        </w:rPr>
        <w:t xml:space="preserve"> Low</w:t>
      </w:r>
    </w:p>
    <w:p>
      <w:pPr>
        <w:pStyle w:val="ListBullet"/>
      </w:pPr>
      <w:r>
        <w:rPr>
          <w:rFonts w:ascii="Calibri" w:hAnsi="Calibri"/>
          <w:b/>
          <w:sz w:val="22"/>
        </w:rPr>
        <w:t>Mission-consequence confidence:</w:t>
      </w:r>
      <w:r>
        <w:rPr>
          <w:rFonts w:ascii="Calibri" w:hAnsi="Calibri"/>
          <w:sz w:val="22"/>
        </w:rPr>
        <w:t xml:space="preserve"> Low</w:t>
      </w:r>
    </w:p>
    <w:p>
      <w:pPr>
        <w:pStyle w:val="Heading3"/>
      </w:pPr>
      <w:r>
        <w:rPr>
          <w:rFonts w:ascii="Calibri" w:hAnsi="Calibri"/>
          <w:color w:val="1F4D78"/>
          <w:sz w:val="24"/>
        </w:rPr>
        <w:t>Framework Mappings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Mapping</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State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Rationale</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EX-0009 Exploit Code Flaws</w:t>
            </w:r>
            <w:r>
              <w:rPr>
                <w:rFonts w:ascii="Calibri" w:hAnsi="Calibri"/>
                <w:color w:val="0B2545"/>
                <w:sz w:val="18"/>
              </w:rPr>
              <w:t xml:space="preserve"> (https://sparta.aerospace.org/technique/EX-0009/)</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supplied evidence directly demonstrates execution of unintended behavior through code flaws</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EX-0009.01 Flight Software</w:t>
            </w:r>
            <w:r>
              <w:rPr>
                <w:rFonts w:ascii="Calibri" w:hAnsi="Calibri"/>
                <w:color w:val="0B2545"/>
                <w:sz w:val="18"/>
              </w:rPr>
              <w:t xml:space="preserve"> (https://sparta.aerospace.org/technique/EX-0009/01/)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Appropriate if the library is integrated into flight software; integration placement is not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 xml:space="preserve">SPARTA </w:t>
            </w:r>
            <w:r>
              <w:rPr>
                <w:rFonts w:ascii="Courier New" w:hAnsi="Courier New"/>
                <w:color w:val="1F4D78"/>
                <w:sz w:val="18"/>
              </w:rPr>
              <w:t>EX-0005.01 Design Flaws</w:t>
            </w:r>
            <w:r>
              <w:rPr>
                <w:rFonts w:ascii="Calibri" w:hAnsi="Calibri"/>
                <w:color w:val="0B2545"/>
                <w:sz w:val="18"/>
              </w:rPr>
              <w:t xml:space="preserve"> (https://sparta.aerospace.org/technique/EX-0005/01/)</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selected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The supplied evidence concerns software memory safety, not a demonstrated hardware or FPGA/ASIC design flaw</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CWE-125 Out-of-bounds Read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Both sanitizer traces directly report reads beyond allocated memory</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CWE-20 Improper Input Validation</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Candidate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Minimum-length validation is a credible root cause but source and API contracts were not supplied</w:t>
            </w:r>
          </w:p>
        </w:tc>
      </w:tr>
    </w:tbl>
    <w:p>
      <w:pPr>
        <w:spacing w:after="20"/>
      </w:pPr>
    </w:p>
    <w:p>
      <w:pPr>
        <w:pStyle w:val="Heading3"/>
      </w:pPr>
      <w:r>
        <w:rPr>
          <w:rFonts w:ascii="Calibri" w:hAnsi="Calibri"/>
          <w:color w:val="1F4D78"/>
          <w:sz w:val="24"/>
        </w:rPr>
        <w:t>Qualitative Mission Context</w:t>
      </w:r>
    </w:p>
    <w:p>
      <w:r>
        <w:rPr>
          <w:rFonts w:ascii="Calibri" w:hAnsi="Calibri"/>
          <w:sz w:val="22"/>
        </w:rPr>
        <w:t>Both findings share one provisional mission-risk scenario:</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alibri" w:hAnsi="Calibri"/>
                <w:color w:val="0B2545"/>
                <w:sz w:val="21"/>
              </w:rPr>
              <w:t>Given an actor or upstream component able to deliver a truncated telecommand-derived input, the affected library paths may read beyond valid memory and terminate a mission-critical process, potentially interrupting spacecraft commandability or recovery.</w:t>
            </w:r>
          </w:p>
        </w:tc>
      </w:tr>
    </w:tbl>
    <w:p>
      <w:pPr>
        <w:spacing w:after="20"/>
      </w:pPr>
    </w:p>
    <w:p>
      <w:r>
        <w:rPr>
          <w:rFonts w:ascii="Calibri" w:hAnsi="Calibri"/>
          <w:sz w:val="22"/>
        </w:rPr>
        <w:t>The demonstrated technical condition requires remediation before mission-critical integration approval. Operational reachability and mission consequence remain unconfirmed; they require an integration investigation and must not be represented as a numeric mission-risk score from the supplied material.</w:t>
      </w:r>
    </w:p>
    <w:p>
      <w:pPr>
        <w:pStyle w:val="Heading2"/>
      </w:pPr>
      <w:r>
        <w:rPr>
          <w:rFonts w:ascii="Calibri" w:hAnsi="Calibri"/>
          <w:color w:val="2E74B5"/>
          <w:sz w:val="26"/>
        </w:rPr>
        <w:t>6. Inform</w:t>
      </w:r>
    </w:p>
    <w:p>
      <w:pPr>
        <w:pStyle w:val="Heading3"/>
      </w:pPr>
      <w:r>
        <w:rPr>
          <w:rFonts w:ascii="Calibri" w:hAnsi="Calibri"/>
          <w:color w:val="1F4D78"/>
          <w:sz w:val="24"/>
        </w:rPr>
        <w:t>Required Actions</w:t>
      </w:r>
    </w:p>
    <w:p>
      <w:pPr>
        <w:spacing w:after="80" w:line="300" w:lineRule="auto"/>
        <w:numPr>
          <w:ilvl w:val="0"/>
          <w:numId w:val="11"/>
        </w:numPr>
      </w:pPr>
      <w:r>
        <w:rPr>
          <w:rFonts w:ascii="Calibri" w:hAnsi="Calibri"/>
          <w:sz w:val="22"/>
        </w:rPr>
        <w:t xml:space="preserve">Add explicit minimum-length checks before every field read in </w:t>
      </w:r>
      <w:r>
        <w:rPr>
          <w:rFonts w:ascii="Courier New" w:hAnsi="Courier New"/>
          <w:color w:val="1F4D78"/>
          <w:sz w:val="20"/>
        </w:rPr>
        <w:t>osdlp_tc_receive</w:t>
      </w:r>
      <w:r>
        <w:rPr>
          <w:rFonts w:ascii="Calibri" w:hAnsi="Calibri"/>
          <w:sz w:val="22"/>
        </w:rPr>
        <w:t xml:space="preserve"> and </w:t>
      </w:r>
      <w:r>
        <w:rPr>
          <w:rFonts w:ascii="Courier New" w:hAnsi="Courier New"/>
          <w:color w:val="1F4D78"/>
          <w:sz w:val="20"/>
        </w:rPr>
        <w:t>osdlp_tc_unpack</w:t>
      </w:r>
      <w:r>
        <w:rPr>
          <w:rFonts w:ascii="Calibri" w:hAnsi="Calibri"/>
          <w:sz w:val="22"/>
        </w:rPr>
        <w:t>.</w:t>
      </w:r>
    </w:p>
    <w:p>
      <w:pPr>
        <w:spacing w:after="80" w:line="300" w:lineRule="auto"/>
        <w:numPr>
          <w:ilvl w:val="0"/>
          <w:numId w:val="11"/>
        </w:numPr>
      </w:pPr>
      <w:r>
        <w:rPr>
          <w:rFonts w:ascii="Calibri" w:hAnsi="Calibri"/>
          <w:sz w:val="22"/>
        </w:rPr>
        <w:t>Define and enforce API contracts for null, empty, truncated, and malformed inputs.</w:t>
      </w:r>
    </w:p>
    <w:p>
      <w:pPr>
        <w:spacing w:after="80" w:line="300" w:lineRule="auto"/>
        <w:numPr>
          <w:ilvl w:val="0"/>
          <w:numId w:val="11"/>
        </w:numPr>
      </w:pPr>
      <w:r>
        <w:rPr>
          <w:rFonts w:ascii="Calibri" w:hAnsi="Calibri"/>
          <w:sz w:val="22"/>
        </w:rPr>
        <w:t>Preserve both minimized crash inputs as permanent regression tests.</w:t>
      </w:r>
    </w:p>
    <w:p>
      <w:pPr>
        <w:spacing w:after="80" w:line="300" w:lineRule="auto"/>
        <w:numPr>
          <w:ilvl w:val="0"/>
          <w:numId w:val="11"/>
        </w:numPr>
      </w:pPr>
      <w:r>
        <w:rPr>
          <w:rFonts w:ascii="Calibri" w:hAnsi="Calibri"/>
          <w:sz w:val="22"/>
        </w:rPr>
        <w:t>Run all telecommand receive, stream, CRC, SPP, and telemetry fuzz targets with AddressSanitizer and UndefinedBehaviorSanitizer for an agreed campaign duration.</w:t>
      </w:r>
    </w:p>
    <w:p>
      <w:pPr>
        <w:spacing w:after="80" w:line="300" w:lineRule="auto"/>
        <w:numPr>
          <w:ilvl w:val="0"/>
          <w:numId w:val="11"/>
        </w:numPr>
      </w:pPr>
      <w:r>
        <w:rPr>
          <w:rFonts w:ascii="Calibri" w:hAnsi="Calibri"/>
          <w:sz w:val="22"/>
        </w:rPr>
        <w:t>Validate the patched library in its integrated flight-software or representative system environment.</w:t>
      </w:r>
    </w:p>
    <w:p>
      <w:pPr>
        <w:spacing w:after="80" w:line="300" w:lineRule="auto"/>
        <w:numPr>
          <w:ilvl w:val="0"/>
          <w:numId w:val="11"/>
        </w:numPr>
      </w:pPr>
      <w:r>
        <w:rPr>
          <w:rFonts w:ascii="Calibri" w:hAnsi="Calibri"/>
          <w:sz w:val="22"/>
        </w:rPr>
        <w:t>Verify upstream authentication, framing, filtering, process isolation, watchdog, and recovery controls before reducing residual risk.</w:t>
      </w:r>
    </w:p>
    <w:p>
      <w:pPr>
        <w:pStyle w:val="Heading3"/>
      </w:pPr>
      <w:r>
        <w:rPr>
          <w:rFonts w:ascii="Calibri" w:hAnsi="Calibri"/>
          <w:color w:val="1F4D78"/>
          <w:sz w:val="24"/>
        </w:rPr>
        <w:t>Acceptance Criteria</w:t>
      </w:r>
    </w:p>
    <w:p>
      <w:pPr>
        <w:pStyle w:val="ListBullet"/>
      </w:pPr>
      <w:r>
        <w:rPr>
          <w:rFonts w:ascii="Calibri" w:hAnsi="Calibri"/>
          <w:sz w:val="22"/>
        </w:rPr>
        <w:t>Both supplied crash inputs complete without sanitizer findings or abnormal termination.</w:t>
      </w:r>
    </w:p>
    <w:p>
      <w:pPr>
        <w:pStyle w:val="ListBullet"/>
      </w:pPr>
      <w:r>
        <w:rPr>
          <w:rFonts w:ascii="Calibri" w:hAnsi="Calibri"/>
          <w:sz w:val="22"/>
        </w:rPr>
        <w:t>All affected APIs reject inputs shorter than their documented minimum length.</w:t>
      </w:r>
    </w:p>
    <w:p>
      <w:pPr>
        <w:pStyle w:val="ListBullet"/>
      </w:pPr>
      <w:r>
        <w:rPr>
          <w:rFonts w:ascii="Calibri" w:hAnsi="Calibri"/>
          <w:sz w:val="22"/>
        </w:rPr>
        <w:t>Regression tests run in CI with sanitizers enabled.</w:t>
      </w:r>
    </w:p>
    <w:p>
      <w:pPr>
        <w:pStyle w:val="ListBullet"/>
      </w:pPr>
      <w:r>
        <w:rPr>
          <w:rFonts w:ascii="Calibri" w:hAnsi="Calibri"/>
          <w:sz w:val="22"/>
        </w:rPr>
        <w:t>The mission owner confirms library placement and consequence assumptions.</w:t>
      </w:r>
    </w:p>
    <w:p>
      <w:pPr>
        <w:pStyle w:val="ListBullet"/>
      </w:pPr>
      <w:r>
        <w:rPr>
          <w:rFonts w:ascii="Calibri" w:hAnsi="Calibri"/>
          <w:sz w:val="22"/>
        </w:rPr>
        <w:t>Representative integration testing demonstrates bounded recovery behavior.</w:t>
      </w:r>
    </w:p>
    <w:p>
      <w:pPr>
        <w:pStyle w:val="Heading3"/>
      </w:pPr>
      <w:r>
        <w:rPr>
          <w:rFonts w:ascii="Calibri" w:hAnsi="Calibri"/>
          <w:color w:val="1F4D78"/>
          <w:sz w:val="24"/>
        </w:rPr>
        <w:t>Evidence Gaps and Follow-Up Requests</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Gap ID</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Requested Evidence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Why It Matters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GAP-LIB-004</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Source revision, commit ID, compiler, sanitizer, and libFuzzer versions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Reproducibility and applicability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GAP-LIB-005</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Crash artifacts and integrity hashes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Independent reproduction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GAP-LIB-006</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Fuzz harness source and API contracts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Validate that calls represent supported usage</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GAP-LIB-007</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Complete fuzz campaign summary for every built target</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Coverage and systemic-risk analysis</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GAP-LIB-008</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Integrated architecture and input path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Operational reachability</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GAP-LIB-009</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Watchdog, process isolation, recovery, and command-authentication evidence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Residual-risk evaluation</w:t>
            </w:r>
          </w:p>
        </w:tc>
      </w:tr>
      <w:tr>
        <w:tc>
          <w:tcPr>
            <w:tcW w:type="dxa" w:w="3120"/>
            <w:tcMar>
              <w:top w:w="80" w:type="dxa"/>
              <w:start w:w="120" w:type="dxa"/>
              <w:bottom w:w="80" w:type="dxa"/>
              <w:end w:w="120" w:type="dxa"/>
            </w:tcMar>
            <w:vAlign w:val="center"/>
          </w:tcPr>
          <w:p>
            <w:pPr>
              <w:spacing w:before="0" w:after="0"/>
            </w:pPr>
            <w:r>
              <w:rPr>
                <w:rFonts w:ascii="Courier New" w:hAnsi="Courier New"/>
                <w:color w:val="1F4D78"/>
                <w:sz w:val="18"/>
              </w:rPr>
              <w:t>GAP-LIB-010</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Mission owner and consequence definitions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Final mission-risk decision</w:t>
            </w:r>
          </w:p>
        </w:tc>
      </w:tr>
    </w:tbl>
    <w:p>
      <w:pPr>
        <w:spacing w:after="20"/>
      </w:pPr>
    </w:p>
    <w:p>
      <w:pPr>
        <w:pStyle w:val="Heading3"/>
      </w:pPr>
      <w:r>
        <w:rPr>
          <w:rFonts w:ascii="Calibri" w:hAnsi="Calibri"/>
          <w:color w:val="1F4D78"/>
          <w:sz w:val="24"/>
        </w:rPr>
        <w:t>Assurance Statement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Pr>
          <w:p>
            <w:pPr>
              <w:spacing w:after="0"/>
            </w:pPr>
            <w:r>
              <w:rPr>
                <w:rFonts w:ascii="Courier New" w:hAnsi="Courier New"/>
                <w:color w:val="1F4D78"/>
                <w:sz w:val="19"/>
              </w:rPr>
              <w:t>CLM-LIB-001</w:t>
            </w:r>
            <w:r>
              <w:rPr>
                <w:rFonts w:ascii="Calibri" w:hAnsi="Calibri"/>
                <w:color w:val="0B2545"/>
                <w:sz w:val="21"/>
              </w:rPr>
              <w:t xml:space="preserve"> </w:t>
            </w:r>
            <w:r>
              <w:rPr>
                <w:rFonts w:ascii="Calibri" w:hAnsi="Calibri"/>
                <w:b/>
                <w:color w:val="0B2545"/>
                <w:sz w:val="21"/>
              </w:rPr>
              <w:t>Does Not Meet</w:t>
            </w:r>
            <w:r>
              <w:rPr>
                <w:rFonts w:ascii="Calibri" w:hAnsi="Calibri"/>
                <w:color w:val="0B2545"/>
                <w:sz w:val="21"/>
              </w:rPr>
              <w:t xml:space="preserve"> its acceptance criteria with high confidence for the tested host sanitizer build. Two out-of-bounds reads and process aborts are confirmed. The report provides low-confidence, provisional mission-risk analysis because integrated reachability, recovery controls, hardware behavior, and on-orbit effects were not assessed.</w:t>
            </w:r>
          </w:p>
        </w:tc>
      </w:tr>
    </w:tbl>
    <w:p>
      <w:pPr>
        <w:spacing w:after="20"/>
      </w:pPr>
    </w:p>
    <w:p>
      <w:pPr>
        <w:pStyle w:val="Heading2"/>
      </w:pPr>
      <w:r>
        <w:rPr>
          <w:rFonts w:ascii="Calibri" w:hAnsi="Calibri"/>
          <w:color w:val="2E74B5"/>
          <w:sz w:val="26"/>
        </w:rPr>
        <w:t>7. Coverage</w:t>
      </w:r>
    </w:p>
    <w:tbl>
      <w:tblPr>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Area</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Coverage</w:t>
            </w:r>
          </w:p>
        </w:tc>
        <w:tc>
          <w:tcPr>
            <w:tcW w:type="dxa" w:w="312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OSDLP TC receive path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memory-safety defect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OSDLP TC stream/unpack path</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Tested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Confirmed memory-safety defect</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Other built fuzz targets</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evidenced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Build output exists; campaign results not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Integrated flight software</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RF / link delivery</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r>
        <w:tc>
          <w:tcPr>
            <w:tcW w:type="dxa" w:w="3120"/>
            <w:tcMar>
              <w:top w:w="80" w:type="dxa"/>
              <w:start w:w="120" w:type="dxa"/>
              <w:bottom w:w="80" w:type="dxa"/>
              <w:end w:w="120" w:type="dxa"/>
            </w:tcMar>
            <w:vAlign w:val="center"/>
          </w:tcPr>
          <w:p>
            <w:pPr>
              <w:spacing w:before="0" w:after="0"/>
            </w:pPr>
            <w:r>
              <w:rPr>
                <w:rFonts w:ascii="Calibri" w:hAnsi="Calibri"/>
                <w:color w:val="0B2545"/>
                <w:sz w:val="18"/>
              </w:rPr>
              <w:t>Hardware / on-orbit behavior</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Not assessed</w:t>
            </w:r>
          </w:p>
        </w:tc>
        <w:tc>
          <w:tcPr>
            <w:tcW w:type="dxa" w:w="3120"/>
            <w:tcMar>
              <w:top w:w="80" w:type="dxa"/>
              <w:start w:w="120" w:type="dxa"/>
              <w:bottom w:w="80" w:type="dxa"/>
              <w:end w:w="120" w:type="dxa"/>
            </w:tcMar>
            <w:vAlign w:val="center"/>
          </w:tcPr>
          <w:p>
            <w:pPr>
              <w:spacing w:before="0" w:after="0"/>
            </w:pPr>
            <w:r>
              <w:rPr>
                <w:rFonts w:ascii="Calibri" w:hAnsi="Calibri"/>
                <w:color w:val="0B2545"/>
                <w:sz w:val="18"/>
              </w:rPr>
              <w:t>No evidence supplied</w:t>
            </w:r>
          </w:p>
        </w:tc>
      </w:tr>
    </w:tbl>
    <w:p>
      <w:pPr>
        <w:spacing w:after="20"/>
      </w:pPr>
    </w:p>
    <w:p>
      <w:r>
        <w:br w:type="page"/>
      </w:r>
    </w:p>
    <w:p>
      <w:pPr>
        <w:pStyle w:val="Heading2"/>
      </w:pPr>
      <w:r>
        <w:rPr>
          <w:rFonts w:ascii="Calibri" w:hAnsi="Calibri"/>
          <w:color w:val="2E74B5"/>
          <w:sz w:val="26"/>
        </w:rPr>
        <w:t>8. Closing FARI Result Card</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Field</w:t>
            </w:r>
          </w:p>
        </w:tc>
        <w:tc>
          <w:tcPr>
            <w:tcW w:type="dxa" w:w="4680"/>
            <w:tcMar>
              <w:top w:w="80" w:type="dxa"/>
              <w:start w:w="120" w:type="dxa"/>
              <w:bottom w:w="80" w:type="dxa"/>
              <w:end w:w="120" w:type="dxa"/>
            </w:tcMar>
            <w:vAlign w:val="center"/>
            <w:shd w:fill="E8EEF5"/>
          </w:tcPr>
          <w:p>
            <w:pPr>
              <w:spacing w:before="0" w:after="0"/>
            </w:pPr>
            <w:r>
              <w:rPr>
                <w:rFonts w:ascii="Calibri" w:hAnsi="Calibri"/>
                <w:b/>
                <w:color w:val="0B2545"/>
                <w:sz w:val="18"/>
              </w:rPr>
              <w:t>Result</w:t>
            </w:r>
          </w:p>
        </w:tc>
      </w:tr>
      <w:tr>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Conclusion</w:t>
            </w:r>
          </w:p>
        </w:tc>
        <w:tc>
          <w:tcPr>
            <w:tcW w:type="dxa" w:w="4680"/>
            <w:tcMar>
              <w:top w:w="140" w:type="dxa"/>
              <w:start w:w="150" w:type="dxa"/>
              <w:bottom w:w="140" w:type="dxa"/>
              <w:end w:w="150" w:type="dxa"/>
            </w:tcMar>
            <w:vAlign w:val="center"/>
            <w:shd w:fill="B42318"/>
          </w:tcPr>
          <w:p>
            <w:pPr>
              <w:spacing w:before="0" w:after="0"/>
            </w:pPr>
            <w:r>
              <w:rPr>
                <w:rFonts w:ascii="Calibri" w:hAnsi="Calibri"/>
                <w:b/>
                <w:color w:val="FFFFFF"/>
                <w:sz w:val="23"/>
              </w:rPr>
              <w:t>Does Not Meet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Confidence</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High within the tested host sanitizer scope</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Required Action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Remediate, then Retest</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Priority</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Immediate before mission-critical integration approval</w:t>
            </w:r>
          </w:p>
        </w:tc>
      </w:tr>
      <w:tr>
        <w:tc>
          <w:tcPr>
            <w:tcW w:type="dxa" w:w="4680"/>
            <w:tcMar>
              <w:top w:w="80" w:type="dxa"/>
              <w:start w:w="120" w:type="dxa"/>
              <w:bottom w:w="80" w:type="dxa"/>
              <w:end w:w="120" w:type="dxa"/>
            </w:tcMar>
            <w:vAlign w:val="center"/>
          </w:tcPr>
          <w:p>
            <w:pPr>
              <w:spacing w:before="0" w:after="0"/>
            </w:pPr>
            <w:r>
              <w:rPr>
                <w:rFonts w:ascii="Calibri" w:hAnsi="Calibri"/>
                <w:color w:val="0B2545"/>
                <w:sz w:val="18"/>
              </w:rPr>
              <w:t>Next Decision</w:t>
            </w:r>
          </w:p>
        </w:tc>
        <w:tc>
          <w:tcPr>
            <w:tcW w:type="dxa" w:w="4680"/>
            <w:tcMar>
              <w:top w:w="80" w:type="dxa"/>
              <w:start w:w="120" w:type="dxa"/>
              <w:bottom w:w="80" w:type="dxa"/>
              <w:end w:w="120" w:type="dxa"/>
            </w:tcMar>
            <w:vAlign w:val="center"/>
          </w:tcPr>
          <w:p>
            <w:pPr>
              <w:spacing w:before="0" w:after="0"/>
            </w:pPr>
            <w:r>
              <w:rPr>
                <w:rFonts w:ascii="Calibri" w:hAnsi="Calibri"/>
                <w:color w:val="0B2545"/>
                <w:sz w:val="18"/>
              </w:rPr>
              <w:t>Approve or reject the patched library after regression and representative integration testing</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FARI  |  Framework for Aerospace Research and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FARI Investigation Report: OSDLP Telecommand Library Fuzzing</dc:title>
  <dc:subject>FARI Investigation Report</dc:subject>
  <dc:creator>FARI Report Author</dc:creator>
  <cp:keywords>FARI, space cybersecurity, investigation, SPARTA</cp:keywords>
  <dc:description>generated by python-docx</dc:description>
  <cp:lastModifiedBy/>
  <cp:revision>1</cp:revision>
  <dcterms:created xsi:type="dcterms:W3CDTF">2013-12-23T23:15:00Z</dcterms:created>
  <dcterms:modified xsi:type="dcterms:W3CDTF">2013-12-23T23:15:00Z</dcterms:modified>
  <cp:category/>
</cp:coreProperties>
</file>