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40"/>
        <w:jc w:val="center"/>
      </w:pPr>
      <w:r>
        <w:rPr>
          <w:rFonts w:ascii="Calibri" w:hAnsi="Calibri"/>
          <w:b/>
          <w:color w:val="0B2545"/>
          <w:sz w:val="60"/>
        </w:rPr>
        <w:t>FARI</w:t>
      </w:r>
    </w:p>
    <w:p>
      <w:pPr>
        <w:spacing w:after="160"/>
        <w:jc w:val="center"/>
      </w:pPr>
      <w:r>
        <w:rPr>
          <w:rFonts w:ascii="Calibri" w:hAnsi="Calibri"/>
          <w:b/>
          <w:color w:val="2E74B5"/>
          <w:sz w:val="36"/>
        </w:rPr>
        <w:t>Consolidated Assessment Report</w:t>
      </w:r>
    </w:p>
    <w:p>
      <w:pPr>
        <w:spacing w:after="440"/>
        <w:jc w:val="center"/>
      </w:pPr>
      <w:r>
        <w:rPr>
          <w:rFonts w:ascii="Calibri" w:hAnsi="Calibri"/>
          <w:color w:val="667085"/>
          <w:sz w:val="30"/>
        </w:rPr>
        <w:t>Pilot Validation Portfolio</w:t>
      </w:r>
    </w:p>
    <w:p>
      <w:pPr>
        <w:spacing w:after="120"/>
        <w:jc w:val="center"/>
      </w:pPr>
      <w:r>
        <w:rPr>
          <w:rFonts w:ascii="Calibri" w:hAnsi="Calibri"/>
          <w:b/>
          <w:color w:val="667085"/>
          <w:sz w:val="21"/>
        </w:rPr>
        <w:t>Report maturity: Provisional  |  8 June 2026</w:t>
      </w:r>
    </w:p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B42318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DOES NOT MEET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FARI qualitative executive conclusion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External auditors do not need FARI knowledge or forms. Supplied source material remains in cases/; the Report Author creates all FARI analysis, conclusions, and follow-up actions.</w:t>
            </w:r>
          </w:p>
        </w:tc>
      </w:tr>
    </w:tbl>
    <w:p>
      <w:pPr>
        <w:spacing w:after="20"/>
      </w:pPr>
    </w:p>
    <w:p>
      <w:pPr>
        <w:spacing w:before="360"/>
        <w:jc w:val="center"/>
      </w:pPr>
      <w:r>
        <w:rPr>
          <w:rFonts w:ascii="Calibri" w:hAnsi="Calibri"/>
          <w:i/>
          <w:color w:val="667085"/>
          <w:sz w:val="19"/>
        </w:rPr>
        <w:t>Source material: cases/01_Lib.md through cases/04_Spacecanbus.md</w:t>
      </w:r>
      <w:r>
        <w:br w:type="page"/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Document Control</w:t>
      </w:r>
    </w:p>
    <w:p>
      <w:pPr>
        <w:pStyle w:val="ListBullet"/>
      </w:pPr>
      <w:r>
        <w:rPr>
          <w:rFonts w:ascii="Calibri" w:hAnsi="Calibri"/>
          <w:b/>
          <w:sz w:val="22"/>
        </w:rPr>
        <w:t>Assessment ID: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ASM-FARI-2026-VAL-001</w:t>
      </w:r>
    </w:p>
    <w:p>
      <w:pPr>
        <w:pStyle w:val="ListBullet"/>
      </w:pPr>
      <w:r>
        <w:rPr>
          <w:rFonts w:ascii="Calibri" w:hAnsi="Calibri"/>
          <w:b/>
          <w:sz w:val="22"/>
        </w:rPr>
        <w:t>Report version: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0.3</w:t>
      </w:r>
    </w:p>
    <w:p>
      <w:pPr>
        <w:pStyle w:val="ListBullet"/>
      </w:pPr>
      <w:r>
        <w:rPr>
          <w:rFonts w:ascii="Calibri" w:hAnsi="Calibri"/>
          <w:b/>
          <w:sz w:val="22"/>
        </w:rPr>
        <w:t>Report maturity:</w:t>
      </w:r>
      <w:r>
        <w:rPr>
          <w:rFonts w:ascii="Calibri" w:hAnsi="Calibri"/>
          <w:sz w:val="22"/>
        </w:rPr>
        <w:t xml:space="preserve"> Provisional</w:t>
      </w:r>
    </w:p>
    <w:p>
      <w:pPr>
        <w:pStyle w:val="ListBullet"/>
      </w:pPr>
      <w:r>
        <w:rPr>
          <w:rFonts w:ascii="Calibri" w:hAnsi="Calibri"/>
          <w:b/>
          <w:sz w:val="22"/>
        </w:rPr>
        <w:t>Report date: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2026-06-08</w:t>
      </w:r>
    </w:p>
    <w:p>
      <w:pPr>
        <w:pStyle w:val="ListBullet"/>
      </w:pPr>
      <w:r>
        <w:rPr>
          <w:rFonts w:ascii="Calibri" w:hAnsi="Calibri"/>
          <w:b/>
          <w:sz w:val="22"/>
        </w:rPr>
        <w:t>Assessment owner:</w:t>
      </w:r>
      <w:r>
        <w:rPr>
          <w:rFonts w:ascii="Calibri" w:hAnsi="Calibri"/>
          <w:sz w:val="22"/>
        </w:rPr>
        <w:t xml:space="preserve"> FARI framework validation owner</w:t>
      </w:r>
    </w:p>
    <w:p>
      <w:pPr>
        <w:pStyle w:val="ListBullet"/>
      </w:pPr>
      <w:r>
        <w:rPr>
          <w:rFonts w:ascii="Calibri" w:hAnsi="Calibri"/>
          <w:b/>
          <w:sz w:val="22"/>
        </w:rPr>
        <w:t>Report author:</w:t>
      </w:r>
      <w:r>
        <w:rPr>
          <w:rFonts w:ascii="Calibri" w:hAnsi="Calibri"/>
          <w:sz w:val="22"/>
        </w:rPr>
        <w:t xml:space="preserve"> FARI Report Author</w:t>
      </w:r>
    </w:p>
    <w:p>
      <w:pPr>
        <w:pStyle w:val="ListBullet"/>
      </w:pPr>
      <w:r>
        <w:rPr>
          <w:rFonts w:ascii="Calibri" w:hAnsi="Calibri"/>
          <w:b/>
          <w:sz w:val="22"/>
        </w:rPr>
        <w:t>Source material: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cases/01_Lib.md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cases/02_USB.md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cases/03_USB.md</w:t>
      </w:r>
      <w:r>
        <w:rPr>
          <w:rFonts w:ascii="Calibri" w:hAnsi="Calibri"/>
          <w:sz w:val="22"/>
        </w:rPr>
        <w:t xml:space="preserve">, and </w:t>
      </w:r>
      <w:r>
        <w:rPr>
          <w:rFonts w:ascii="Courier New" w:hAnsi="Courier New"/>
          <w:color w:val="1F4D78"/>
          <w:sz w:val="20"/>
        </w:rPr>
        <w:t>cases/04_Spacecanbus.md</w:t>
      </w:r>
    </w:p>
    <w:p>
      <w:pPr>
        <w:pStyle w:val="ListBullet"/>
      </w:pPr>
      <w:r>
        <w:rPr>
          <w:rFonts w:ascii="Calibri" w:hAnsi="Calibri"/>
          <w:b/>
          <w:sz w:val="22"/>
        </w:rPr>
        <w:t>Declared gating claims: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CLM-LIB-001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CLM-USB-001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CLM-USB-002</w:t>
      </w:r>
      <w:r>
        <w:rPr>
          <w:rFonts w:ascii="Calibri" w:hAnsi="Calibri"/>
          <w:sz w:val="22"/>
        </w:rPr>
        <w:t xml:space="preserve">, and </w:t>
      </w:r>
      <w:r>
        <w:rPr>
          <w:rFonts w:ascii="Courier New" w:hAnsi="Courier New"/>
          <w:color w:val="1F4D78"/>
          <w:sz w:val="20"/>
        </w:rPr>
        <w:t>CLM-SCAN-001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1. Overall FARI Result 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4231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Overall Conclusion</w:t>
            </w:r>
          </w:p>
        </w:tc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4231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Does Not Meet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High for the demonstrated library failure, medium for the SpaceCAN lab failure, and low for total infrastructure coverage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Required Action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Remediate demonstrated failures, Extend Investigation of both USB scenarios, then Retest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Priority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affected components or displayed bus state are approved for mission-critical use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Scope Boundary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Only the four supplied pilot cases and evidenced environments; this is not a complete infrastructure or spacecraft assessment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sz w:val="22"/>
        </w:rPr>
        <w:t>Conclusion rationale:</w:t>
      </w:r>
      <w:r>
        <w:rPr>
          <w:rFonts w:ascii="Calibri" w:hAnsi="Calibri"/>
          <w:sz w:val="22"/>
        </w:rPr>
        <w:t xml:space="preserve"> All four claims are gating for this pilot portfolio. </w:t>
      </w:r>
      <w:r>
        <w:rPr>
          <w:rFonts w:ascii="Courier New" w:hAnsi="Courier New"/>
          <w:color w:val="1F4D78"/>
          <w:sz w:val="20"/>
        </w:rPr>
        <w:t>CLM-LIB-001</w:t>
      </w:r>
      <w:r>
        <w:rPr>
          <w:rFonts w:ascii="Calibri" w:hAnsi="Calibri"/>
          <w:sz w:val="22"/>
        </w:rPr>
        <w:t xml:space="preserve"> and </w:t>
      </w:r>
      <w:r>
        <w:rPr>
          <w:rFonts w:ascii="Courier New" w:hAnsi="Courier New"/>
          <w:color w:val="1F4D78"/>
          <w:sz w:val="20"/>
        </w:rPr>
        <w:t>CLM-SCAN-001</w:t>
      </w:r>
      <w:r>
        <w:rPr>
          <w:rFonts w:ascii="Calibri" w:hAnsi="Calibri"/>
          <w:sz w:val="22"/>
        </w:rPr>
        <w:t xml:space="preserve"> are Does Not Meet; therefore the overall conclusion is Does Not Meet. Both USB claims remain Inconclusive and prevent a complete assurance statement, but they do not override demonstrated claim failures.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2. Executive Decision Summary</w:t>
      </w:r>
    </w:p>
    <w:p>
      <w:r>
        <w:rPr>
          <w:rFonts w:ascii="Calibri" w:hAnsi="Calibri"/>
          <w:sz w:val="22"/>
        </w:rPr>
        <w:t>The tested OSDLP telecommand library revision and the evidenced SpaceCAN monitoring behavior must not be approved for mission-critical use until their demonstrated claim failures are remediated and retested. The two USB investigations require controlled, instrumented execution before a pass/fail statement can be made.</w:t>
      </w:r>
    </w:p>
    <w:p>
      <w:r>
        <w:rPr>
          <w:rFonts w:ascii="Calibri" w:hAnsi="Calibri"/>
          <w:sz w:val="22"/>
        </w:rPr>
        <w:t>This report consolidates the portfolio so an executive can see the totalized conclusion, the decisions it drives, and the unresolved evidence boundaries without reviewing four technical reports first.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3. Investigation and Claim Results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true"/>
        </w:trP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Investigation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Claim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Gating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Conclusion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Confidence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Required Action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Report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INV-LIB-001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CLM-LIB-001</w:t>
            </w:r>
            <w:r>
              <w:rPr>
                <w:rFonts w:ascii="Calibri" w:hAnsi="Calibri"/>
                <w:color w:val="0B2545"/>
                <w:sz w:val="18"/>
              </w:rPr>
              <w:t>: malformed telecommand inputs do not cause unsafe memory access or termination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Does Not Meet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High in tested host scope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Remediate, then Retest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01-library-fuzzing-report.md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INV-USB-001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CLM-USB-001</w:t>
            </w:r>
            <w:r>
              <w:rPr>
                <w:rFonts w:ascii="Calibri" w:hAnsi="Calibri"/>
                <w:color w:val="0B2545"/>
                <w:sz w:val="18"/>
              </w:rPr>
              <w:t>: unsafe beacon intervals are rejected without mission-loop degradation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Inconclusive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Low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Extend Investigation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02-usb-interface-report.md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INV-USB-002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CLM-USB-002</w:t>
            </w:r>
            <w:r>
              <w:rPr>
                <w:rFonts w:ascii="Calibri" w:hAnsi="Calibri"/>
                <w:color w:val="0B2545"/>
                <w:sz w:val="18"/>
              </w:rPr>
              <w:t>: undersized broadcast telecommands are rejected without unsafe memory access or command loss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Inconclusive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Low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Extend Investigation, then Retest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03-usb-apid-underflow-report.md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INV-SCAN-001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CLM-SCAN-001</w:t>
            </w:r>
            <w:r>
              <w:rPr>
                <w:rFonts w:ascii="Calibri" w:hAnsi="Calibri"/>
                <w:color w:val="0B2545"/>
                <w:sz w:val="18"/>
              </w:rPr>
              <w:t>: forged or replayed SpaceCAN state is rejected or visibly distinguished before trusted use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Does Not Meet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Medium in lab monitor scope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Remediate, then Retest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04-spacecanbus-spoofing-replay-report.md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4. Totalized Results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47546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Conclusion</w:t>
            </w:r>
          </w:p>
        </w:tc>
        <w:tc>
          <w:tcPr>
            <w:tcW w:type="dxa" w:w="312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47546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Gating Claims</w:t>
            </w:r>
          </w:p>
        </w:tc>
        <w:tc>
          <w:tcPr>
            <w:tcW w:type="dxa" w:w="312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47546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Open Actions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Meets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Does Not Meet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4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Inconclusive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2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>The counts support navigation and workload planning. They are not averaged into a vulnerability, mission-risk, or security score.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5. Required Decisions and Actions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Related Result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Acceptance Criteria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Correct minimum-length handling in OSDLP and preserve regression inputs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INV-LIB-001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Supplied crash inputs and expanded malformed-input suite complete without sanitizer findings or abnormal termination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Validate the patched OSDLP library in representative integration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INV-LIB-001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integration approval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Integration test resolves reachability, recovery, and mission-consequence assumptions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Execute the controlled USB beacon-rate reproduction with corrected command encoding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INV-USB-001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Planned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Exact command bytes, acknowledgement, observed behavior, resource measurements, and recovery are captured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Instrument and retest the 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 xml:space="preserve"> undersized packet path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INV-USB-002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resilience is claimed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Handler entry, rejection or unsafe effect, post-test command behavior, and recovery are captured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Add SpaceCAN origin/freshness controls and anomaly handling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INV-SCAN-001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trusted operational use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Forged and replayed frames are rejected or visibly marked untrusted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Retest every representative SpaceCAN consumer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INV-SCAN-001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operational approval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Monitor, control, autonomy, alarm, and recovery behavior meet defined acceptance criteria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6. Coverage and Limitations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Coverage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Consolidated Result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OSDLP telecommand receive/unpack paths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Tested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Does Not Meet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USB beacon-rate scenario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Reviewed; execution not evidenced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Inconclusive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USB 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 xml:space="preserve"> undersized packet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Sender-side execution evidenced; target effect not evidenced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Inconclusive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SpaceCAN injection and lab monitor display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Tested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Does Not Meet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SpaceCAN replay transmission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Tested; receiver effect partial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Candidate replay-control failure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Integrated flight software and physical subsystems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RF delivery and authentication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Hardware and on-orbit behavior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 / out of scope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Remaining infrastructure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>The overall Does Not Meet conclusion applies only to the declared pilot portfolio. It must not be presented as a conclusion about an entire spacecraft, mission, or client infrastructure.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7. Consolidated Assurance Statement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 xml:space="preserve">The FARI pilot validation portfolio </w:t>
            </w:r>
            <w:r>
              <w:rPr>
                <w:rFonts w:ascii="Calibri" w:hAnsi="Calibri"/>
                <w:b/>
                <w:color w:val="0B2545"/>
                <w:sz w:val="21"/>
              </w:rPr>
              <w:t>Does Not Meet</w:t>
            </w:r>
            <w:r>
              <w:rPr>
                <w:rFonts w:ascii="Calibri" w:hAnsi="Calibri"/>
                <w:color w:val="0B2545"/>
                <w:sz w:val="21"/>
              </w:rPr>
              <w:t xml:space="preserve"> its declared gating claims because claim failures are directly demonstrated in the tested OSDLP library and SpaceCAN lab-monitor scopes. Both USB claims are Inconclusive and require extended investigation. No conclusion is made about the remainder of any client infrastructure, physical spacecraft behavior, RF reachability, or on-orbit consequence.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8. Closing FARI Result 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4231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Overall Conclusion</w:t>
            </w:r>
          </w:p>
        </w:tc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4231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Does Not Meet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Mixed: high for OSDLP host failure, medium for SpaceCAN lab failure, low for portfolio completeness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Required Action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Remediate, Extend Investigation, and Retest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Next Executive Decision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Approve or reject affected integrations only after the defined acceptance criteria are demonstrated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8"/>
      </w:rPr>
      <w:t>FARI  |  Framework for Aerospace Research and Investigation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FARI Consolidated Assessment Report: Pilot Validation Portfolio</dc:title>
  <dc:subject>FARI Consolidated Assessment Report</dc:subject>
  <dc:creator>FARI Report Author</dc:creator>
  <cp:keywords>FARI, space cybersecurity, investigation, SPARTA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