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rFonts w:ascii="Calibri" w:hAnsi="Calibri"/>
          <w:b/>
          <w:color w:val="0B2545"/>
          <w:sz w:val="60"/>
        </w:rPr>
        <w:t>FARI</w:t>
      </w:r>
    </w:p>
    <w:p>
      <w:pPr>
        <w:spacing w:after="160"/>
        <w:jc w:val="center"/>
      </w:pPr>
      <w:r>
        <w:rPr>
          <w:rFonts w:ascii="Calibri" w:hAnsi="Calibri"/>
          <w:b/>
          <w:color w:val="2E74B5"/>
          <w:sz w:val="36"/>
        </w:rPr>
        <w:t>Framework Datasheet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30"/>
        </w:rPr>
        <w:t>FARI at a Glance</w:t>
      </w:r>
    </w:p>
    <w:p>
      <w:pPr>
        <w:spacing w:after="120"/>
        <w:jc w:val="center"/>
      </w:pPr>
      <w:r>
        <w:rPr>
          <w:rFonts w:ascii="Calibri" w:hAnsi="Calibri"/>
          <w:color w:val="667085"/>
          <w:sz w:val="22"/>
        </w:rPr>
        <w:t>Core concepts, outputs, and adoption path</w:t>
      </w:r>
    </w:p>
    <w:p>
      <w:pPr>
        <w:spacing w:before="360"/>
        <w:jc w:val="center"/>
      </w:pPr>
      <w:r>
        <w:rPr>
          <w:rFonts w:ascii="Calibri" w:hAnsi="Calibri"/>
          <w:b/>
          <w:color w:val="667085"/>
          <w:sz w:val="20"/>
        </w:rPr>
        <w:t>Version 0.3 Draft  |  8 June 2026</w:t>
      </w:r>
    </w:p>
    <w:p/>
    <w:p/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FARI preserves the auditor's technical independence while giving the Report Author a consistent path from source material to an executive conclusion.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rPr>
          <w:rFonts w:ascii="Calibri" w:hAnsi="Calibri"/>
          <w:b/>
          <w:sz w:val="22"/>
        </w:rPr>
        <w:t>Framework for Aerospace Research and Investigation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sz w:val="22"/>
        </w:rPr>
        <w:t>Version: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0.3 Draft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sz w:val="22"/>
        </w:rPr>
        <w:t>Purpose:</w:t>
      </w:r>
      <w:r>
        <w:rPr>
          <w:rFonts w:ascii="Calibri" w:hAnsi="Calibri"/>
          <w:sz w:val="22"/>
        </w:rPr>
        <w:t xml:space="preserve"> A top-level, method-agnostic framework for turning heterogeneous space-system security investigations into traceable conclusions and one executive assessment.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What FARI Solves</w:t>
      </w:r>
    </w:p>
    <w:p>
      <w:r>
        <w:rPr>
          <w:rFonts w:ascii="Calibri" w:hAnsi="Calibri"/>
          <w:sz w:val="22"/>
        </w:rPr>
        <w:t>Space audits arrive from different teams, tools, domains, and methodologies. FARI lets each auditor keep the method that fits the target while a Report Author creates a consistent decision record across the full assessment.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FARI does not replace technical testing. It makes the evidence, limitations, conclusions, and required actions interoperable.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What Makes FARI Different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Characteristic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FARI Approach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External auditor burden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None required; arbitrary source material is accepted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Technical methodology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Auditor-selected and framework-agnostic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Executive result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Qualitative Result Card, not an average vulnerability score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Uncertainty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Visible through confidence, coverage, gaps, and </w:t>
            </w:r>
            <w:r>
              <w:rPr>
                <w:rFonts w:ascii="Courier New" w:hAnsi="Courier New"/>
                <w:color w:val="1F4D78"/>
                <w:sz w:val="18"/>
              </w:rPr>
              <w:t>Inconclusive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Space threat context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SPARTA is the required spacecraft-relevant threat-language profile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Multiple investigations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One mandatory consolidated assessment report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Manual and digital use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Same records work in documents, tables, JSON, and a future web workflow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The Four Phases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Phase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Core Question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Main Output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Frame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What mission, assets, claims, scope, and authorization matter?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Assessment context and testable claims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Acquire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What does the supplied material directly prove, assert, or leave missing?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Intake review, evidence index, gaps, and sufficiency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Relate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What findings, attack paths, SPARTA behaviors, and consequences are supported?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Normalized findings and validated mappings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Inform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What is the conclusion, required action, and totalized executive decision?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Result Cards, actions, assurance, and consolidated report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Required Qualitative Result</w:t>
      </w:r>
    </w:p>
    <w:p>
      <w:r>
        <w:rPr>
          <w:rFonts w:ascii="Calibri" w:hAnsi="Calibri"/>
          <w:sz w:val="22"/>
        </w:rPr>
        <w:t>Every investigation ends with a FARI Result Card: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Allowed Values / Meaning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Conclusion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Meets</w:t>
            </w:r>
            <w:r>
              <w:rPr>
                <w:rFonts w:ascii="Calibri" w:hAnsi="Calibri"/>
                <w:color w:val="0B2545"/>
                <w:sz w:val="18"/>
              </w:rPr>
              <w:t xml:space="preserve">, </w:t>
            </w:r>
            <w:r>
              <w:rPr>
                <w:rFonts w:ascii="Courier New" w:hAnsi="Courier New"/>
                <w:color w:val="1F4D78"/>
                <w:sz w:val="18"/>
              </w:rPr>
              <w:t>Does Not Meet</w:t>
            </w:r>
            <w:r>
              <w:rPr>
                <w:rFonts w:ascii="Calibri" w:hAnsi="Calibri"/>
                <w:color w:val="0B2545"/>
                <w:sz w:val="18"/>
              </w:rPr>
              <w:t xml:space="preserve">, </w:t>
            </w:r>
            <w:r>
              <w:rPr>
                <w:rFonts w:ascii="Courier New" w:hAnsi="Courier New"/>
                <w:color w:val="1F4D78"/>
                <w:sz w:val="18"/>
              </w:rPr>
              <w:t>Inconclusive</w:t>
            </w:r>
            <w:r>
              <w:rPr>
                <w:rFonts w:ascii="Calibri" w:hAnsi="Calibri"/>
                <w:color w:val="0B2545"/>
                <w:sz w:val="18"/>
              </w:rPr>
              <w:t xml:space="preserve">, or </w:t>
            </w:r>
            <w:r>
              <w:rPr>
                <w:rFonts w:ascii="Courier New" w:hAnsi="Courier New"/>
                <w:color w:val="1F4D78"/>
                <w:sz w:val="18"/>
              </w:rPr>
              <w:t>Not Assessed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Confidence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High</w:t>
            </w:r>
            <w:r>
              <w:rPr>
                <w:rFonts w:ascii="Calibri" w:hAnsi="Calibri"/>
                <w:color w:val="0B2545"/>
                <w:sz w:val="18"/>
              </w:rPr>
              <w:t xml:space="preserve">, </w:t>
            </w:r>
            <w:r>
              <w:rPr>
                <w:rFonts w:ascii="Courier New" w:hAnsi="Courier New"/>
                <w:color w:val="1F4D78"/>
                <w:sz w:val="18"/>
              </w:rPr>
              <w:t>Medium</w:t>
            </w:r>
            <w:r>
              <w:rPr>
                <w:rFonts w:ascii="Calibri" w:hAnsi="Calibri"/>
                <w:color w:val="0B2545"/>
                <w:sz w:val="18"/>
              </w:rPr>
              <w:t xml:space="preserve">, or </w:t>
            </w:r>
            <w:r>
              <w:rPr>
                <w:rFonts w:ascii="Courier New" w:hAnsi="Courier New"/>
                <w:color w:val="1F4D78"/>
                <w:sz w:val="18"/>
              </w:rPr>
              <w:t>Low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Required Action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Accept</w:t>
            </w:r>
            <w:r>
              <w:rPr>
                <w:rFonts w:ascii="Calibri" w:hAnsi="Calibri"/>
                <w:color w:val="0B2545"/>
                <w:sz w:val="18"/>
              </w:rPr>
              <w:t xml:space="preserve">, </w:t>
            </w:r>
            <w:r>
              <w:rPr>
                <w:rFonts w:ascii="Courier New" w:hAnsi="Courier New"/>
                <w:color w:val="1F4D78"/>
                <w:sz w:val="18"/>
              </w:rPr>
              <w:t>Remediate</w:t>
            </w:r>
            <w:r>
              <w:rPr>
                <w:rFonts w:ascii="Calibri" w:hAnsi="Calibri"/>
                <w:color w:val="0B2545"/>
                <w:sz w:val="18"/>
              </w:rPr>
              <w:t xml:space="preserve">, </w:t>
            </w:r>
            <w:r>
              <w:rPr>
                <w:rFonts w:ascii="Courier New" w:hAnsi="Courier New"/>
                <w:color w:val="1F4D78"/>
                <w:sz w:val="18"/>
              </w:rPr>
              <w:t>Extend Investigation</w:t>
            </w:r>
            <w:r>
              <w:rPr>
                <w:rFonts w:ascii="Calibri" w:hAnsi="Calibri"/>
                <w:color w:val="0B2545"/>
                <w:sz w:val="18"/>
              </w:rPr>
              <w:t xml:space="preserve">, </w:t>
            </w:r>
            <w:r>
              <w:rPr>
                <w:rFonts w:ascii="Courier New" w:hAnsi="Courier New"/>
                <w:color w:val="1F4D78"/>
                <w:sz w:val="18"/>
              </w:rPr>
              <w:t>Retest</w:t>
            </w:r>
            <w:r>
              <w:rPr>
                <w:rFonts w:ascii="Calibri" w:hAnsi="Calibri"/>
                <w:color w:val="0B2545"/>
                <w:sz w:val="18"/>
              </w:rPr>
              <w:t xml:space="preserve">, or </w:t>
            </w:r>
            <w:r>
              <w:rPr>
                <w:rFonts w:ascii="Courier New" w:hAnsi="Courier New"/>
                <w:color w:val="1F4D78"/>
                <w:sz w:val="18"/>
              </w:rPr>
              <w:t>No Action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Priority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Immediate</w:t>
            </w:r>
            <w:r>
              <w:rPr>
                <w:rFonts w:ascii="Calibri" w:hAnsi="Calibri"/>
                <w:color w:val="0B2545"/>
                <w:sz w:val="18"/>
              </w:rPr>
              <w:t xml:space="preserve">, </w:t>
            </w:r>
            <w:r>
              <w:rPr>
                <w:rFonts w:ascii="Courier New" w:hAnsi="Courier New"/>
                <w:color w:val="1F4D78"/>
                <w:sz w:val="18"/>
              </w:rPr>
              <w:t>Planned</w:t>
            </w:r>
            <w:r>
              <w:rPr>
                <w:rFonts w:ascii="Calibri" w:hAnsi="Calibri"/>
                <w:color w:val="0B2545"/>
                <w:sz w:val="18"/>
              </w:rPr>
              <w:t xml:space="preserve">, </w:t>
            </w:r>
            <w:r>
              <w:rPr>
                <w:rFonts w:ascii="Courier New" w:hAnsi="Courier New"/>
                <w:color w:val="1F4D78"/>
                <w:sz w:val="18"/>
              </w:rPr>
              <w:t>Routine</w:t>
            </w:r>
            <w:r>
              <w:rPr>
                <w:rFonts w:ascii="Calibri" w:hAnsi="Calibri"/>
                <w:color w:val="0B2545"/>
                <w:sz w:val="18"/>
              </w:rPr>
              <w:t xml:space="preserve">, or </w:t>
            </w:r>
            <w:r>
              <w:rPr>
                <w:rFonts w:ascii="Courier New" w:hAnsi="Courier New"/>
                <w:color w:val="1F4D78"/>
                <w:sz w:val="18"/>
              </w:rPr>
              <w:t>None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Scope Boundary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Exact assets, environment, claim, and exclusions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Rationale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Short evidence-based explanation</w:t>
            </w:r>
          </w:p>
        </w:tc>
      </w:tr>
    </w:tbl>
    <w:p>
      <w:pPr>
        <w:spacing w:after="20"/>
      </w:pPr>
    </w:p>
    <w:p>
      <w:r>
        <w:rPr>
          <w:rFonts w:ascii="Courier New" w:hAnsi="Courier New"/>
          <w:color w:val="1F4D78"/>
          <w:sz w:val="20"/>
        </w:rPr>
        <w:t>Inconclusive</w:t>
      </w:r>
      <w:r>
        <w:rPr>
          <w:rFonts w:ascii="Calibri" w:hAnsi="Calibri"/>
          <w:sz w:val="22"/>
        </w:rPr>
        <w:t xml:space="preserve"> is a valid result and must produce a next action. FARI does not require CVSS, CVE, CWE, or a numeric security score.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Evidence Discipline</w:t>
      </w:r>
    </w:p>
    <w:p>
      <w:r>
        <w:rPr>
          <w:rFonts w:ascii="Calibri" w:hAnsi="Calibri"/>
          <w:sz w:val="22"/>
        </w:rPr>
        <w:t>Every material statement is classified: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Disposition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Meaning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Evidence-backed fact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Directly supported by supplied evidence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Evidence-producer assertion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Stated by the auditor but not demonstrated in supplied material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Report-author inference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Reasoned conclusion from identified facts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Assumption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Added context requiring confirmation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Missing information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Evidence needed to strengthen or resolve the conclusion</w:t>
            </w:r>
          </w:p>
        </w:tc>
      </w:tr>
    </w:tbl>
    <w:p>
      <w:pPr>
        <w:spacing w:after="20"/>
      </w:pPr>
    </w:p>
    <w:p>
      <w:r>
        <w:rPr>
          <w:rFonts w:ascii="Calibri" w:hAnsi="Calibri"/>
          <w:sz w:val="22"/>
        </w:rPr>
        <w:t>FARI separately decides whether evidence is sufficient for: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The technical condition.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Operational reachability.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Mission consequence.</w:t>
      </w:r>
    </w:p>
    <w:p>
      <w:r>
        <w:rPr>
          <w:rFonts w:ascii="Calibri" w:hAnsi="Calibri"/>
          <w:sz w:val="22"/>
        </w:rPr>
        <w:t>This prevents a lab defect from being overstated as demonstrated mission impact.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Roles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Role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Responsibility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Evidence Producer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Performs the technical engagement using any appropriate method; no FARI knowledge required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Report Author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Normalizes evidence, records gaps, validates mappings, assigns conclusions, and writes reports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Mission Owner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Confirms mission context, consequence, controls, and owners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Risk Authority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Accepts, rejects, transfers, or requires treatment of residual risk</w:t>
            </w:r>
          </w:p>
        </w:tc>
      </w:tr>
    </w:tbl>
    <w:p>
      <w:pPr>
        <w:spacing w:after="20"/>
      </w:pPr>
    </w:p>
    <w:p>
      <w:r>
        <w:rPr>
          <w:rFonts w:ascii="Calibri" w:hAnsi="Calibri"/>
          <w:sz w:val="22"/>
        </w:rPr>
        <w:t>The Optional Technical Finding Submission Form is available when useful, but it is never required from an external auditor.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SPARTA Inside FARI</w:t>
      </w:r>
    </w:p>
    <w:p>
      <w:r>
        <w:rPr>
          <w:rFonts w:ascii="Calibri" w:hAnsi="Calibri"/>
          <w:sz w:val="22"/>
        </w:rPr>
        <w:t>SPARTA is essential to FARI because it provides spacecraft-focused adversary behavior and countermeasure language.</w:t>
      </w:r>
    </w:p>
    <w:p>
      <w:r>
        <w:rPr>
          <w:rFonts w:ascii="Calibri" w:hAnsi="Calibri"/>
          <w:sz w:val="22"/>
        </w:rPr>
        <w:t>FARI requires the Report Author to:</w:t>
      </w:r>
    </w:p>
    <w:p>
      <w:pPr>
        <w:pStyle w:val="ListBullet"/>
      </w:pPr>
      <w:r>
        <w:rPr>
          <w:rFonts w:ascii="Calibri" w:hAnsi="Calibri"/>
          <w:sz w:val="22"/>
        </w:rPr>
        <w:t>Record exact SPARTA IDs, names, and version/access date.</w:t>
      </w:r>
    </w:p>
    <w:p>
      <w:pPr>
        <w:pStyle w:val="ListBullet"/>
      </w:pPr>
      <w:r>
        <w:rPr>
          <w:rFonts w:ascii="Calibri" w:hAnsi="Calibri"/>
          <w:sz w:val="22"/>
        </w:rPr>
        <w:t>Distinguish confirmed and candidate mappings.</w:t>
      </w:r>
    </w:p>
    <w:p>
      <w:pPr>
        <w:pStyle w:val="ListBullet"/>
      </w:pPr>
      <w:r>
        <w:rPr>
          <w:rFonts w:ascii="Calibri" w:hAnsi="Calibri"/>
          <w:sz w:val="22"/>
        </w:rPr>
        <w:t>Explain applicability and non-applicability.</w:t>
      </w:r>
    </w:p>
    <w:p>
      <w:pPr>
        <w:pStyle w:val="ListBullet"/>
      </w:pPr>
      <w:r>
        <w:rPr>
          <w:rFonts w:ascii="Calibri" w:hAnsi="Calibri"/>
          <w:sz w:val="22"/>
        </w:rPr>
        <w:t>Keep SPARTA notional risk separate from the FARI Conclusion.</w:t>
      </w:r>
    </w:p>
    <w:p>
      <w:pPr>
        <w:pStyle w:val="ListBullet"/>
      </w:pPr>
      <w:r>
        <w:rPr>
          <w:rFonts w:ascii="Calibri" w:hAnsi="Calibri"/>
          <w:sz w:val="22"/>
        </w:rPr>
        <w:t>Avoid using a mapping as proof of a finding.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Required Outputs</w:t>
      </w:r>
    </w:p>
    <w:p>
      <w:r>
        <w:rPr>
          <w:rFonts w:ascii="Calibri" w:hAnsi="Calibri"/>
          <w:sz w:val="22"/>
        </w:rPr>
        <w:t>For one investigation:</w:t>
      </w:r>
    </w:p>
    <w:p>
      <w:pPr>
        <w:pStyle w:val="ListBullet"/>
      </w:pPr>
      <w:r>
        <w:rPr>
          <w:rFonts w:ascii="Calibri" w:hAnsi="Calibri"/>
          <w:sz w:val="22"/>
        </w:rPr>
        <w:t>Investigation report.</w:t>
      </w:r>
    </w:p>
    <w:p>
      <w:pPr>
        <w:pStyle w:val="ListBullet"/>
      </w:pPr>
      <w:r>
        <w:rPr>
          <w:rFonts w:ascii="Calibri" w:hAnsi="Calibri"/>
          <w:sz w:val="22"/>
        </w:rPr>
        <w:t>FARI Result Card.</w:t>
      </w:r>
    </w:p>
    <w:p>
      <w:pPr>
        <w:pStyle w:val="ListBullet"/>
      </w:pPr>
      <w:r>
        <w:rPr>
          <w:rFonts w:ascii="Calibri" w:hAnsi="Calibri"/>
          <w:sz w:val="22"/>
        </w:rPr>
        <w:t>Coverage and limitation statement.</w:t>
      </w:r>
    </w:p>
    <w:p>
      <w:pPr>
        <w:pStyle w:val="ListBullet"/>
      </w:pPr>
      <w:r>
        <w:rPr>
          <w:rFonts w:ascii="Calibri" w:hAnsi="Calibri"/>
          <w:sz w:val="22"/>
        </w:rPr>
        <w:t>Actions and acceptance criteria.</w:t>
      </w:r>
    </w:p>
    <w:p>
      <w:r>
        <w:rPr>
          <w:rFonts w:ascii="Calibri" w:hAnsi="Calibri"/>
          <w:sz w:val="22"/>
        </w:rPr>
        <w:t>For multiple investigations:</w:t>
      </w:r>
    </w:p>
    <w:p>
      <w:pPr>
        <w:pStyle w:val="ListBullet"/>
      </w:pPr>
      <w:r>
        <w:rPr>
          <w:rFonts w:ascii="Calibri" w:hAnsi="Calibri"/>
          <w:sz w:val="22"/>
        </w:rPr>
        <w:t>Every individual investigation report.</w:t>
      </w:r>
    </w:p>
    <w:p>
      <w:pPr>
        <w:pStyle w:val="ListBullet"/>
      </w:pPr>
      <w:r>
        <w:rPr>
          <w:rFonts w:ascii="Calibri" w:hAnsi="Calibri"/>
          <w:sz w:val="22"/>
        </w:rPr>
        <w:t>One consolidated assessment report.</w:t>
      </w:r>
    </w:p>
    <w:p>
      <w:pPr>
        <w:pStyle w:val="ListBullet"/>
      </w:pPr>
      <w:r>
        <w:rPr>
          <w:rFonts w:ascii="Calibri" w:hAnsi="Calibri"/>
          <w:sz w:val="22"/>
        </w:rPr>
        <w:t>One overall conclusion derived from declared gating claims.</w:t>
      </w:r>
    </w:p>
    <w:p>
      <w:pPr>
        <w:pStyle w:val="ListBullet"/>
      </w:pPr>
      <w:r>
        <w:rPr>
          <w:rFonts w:ascii="Calibri" w:hAnsi="Calibri"/>
          <w:sz w:val="22"/>
        </w:rPr>
        <w:t>Totalized open actions and assurance statement.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Consolidation Rule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urier New" w:hAnsi="Courier New"/>
          <w:color w:val="1F4D78"/>
          <w:sz w:val="20"/>
        </w:rPr>
        <w:t>Does Not Meet</w:t>
      </w:r>
      <w:r>
        <w:rPr>
          <w:rFonts w:ascii="Calibri" w:hAnsi="Calibri"/>
          <w:sz w:val="22"/>
        </w:rPr>
        <w:t xml:space="preserve"> if any gating claim is </w:t>
      </w:r>
      <w:r>
        <w:rPr>
          <w:rFonts w:ascii="Courier New" w:hAnsi="Courier New"/>
          <w:color w:val="1F4D78"/>
          <w:sz w:val="20"/>
        </w:rPr>
        <w:t>Does Not Meet</w:t>
      </w:r>
      <w:r>
        <w:rPr>
          <w:rFonts w:ascii="Calibri" w:hAnsi="Calibri"/>
          <w:sz w:val="22"/>
        </w:rPr>
        <w:t>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sz w:val="22"/>
        </w:rPr>
        <w:t xml:space="preserve">Otherwise, </w:t>
      </w:r>
      <w:r>
        <w:rPr>
          <w:rFonts w:ascii="Courier New" w:hAnsi="Courier New"/>
          <w:color w:val="1F4D78"/>
          <w:sz w:val="20"/>
        </w:rPr>
        <w:t>Inconclusive</w:t>
      </w:r>
      <w:r>
        <w:rPr>
          <w:rFonts w:ascii="Calibri" w:hAnsi="Calibri"/>
          <w:sz w:val="22"/>
        </w:rPr>
        <w:t xml:space="preserve"> if any gating claim is unresolved.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urier New" w:hAnsi="Courier New"/>
          <w:color w:val="1F4D78"/>
          <w:sz w:val="20"/>
        </w:rPr>
        <w:t>Meets</w:t>
      </w:r>
      <w:r>
        <w:rPr>
          <w:rFonts w:ascii="Calibri" w:hAnsi="Calibri"/>
          <w:sz w:val="22"/>
        </w:rPr>
        <w:t xml:space="preserve"> only if every gating claim is </w:t>
      </w:r>
      <w:r>
        <w:rPr>
          <w:rFonts w:ascii="Courier New" w:hAnsi="Courier New"/>
          <w:color w:val="1F4D78"/>
          <w:sz w:val="20"/>
        </w:rPr>
        <w:t>Meets</w:t>
      </w:r>
      <w:r>
        <w:rPr>
          <w:rFonts w:ascii="Calibri" w:hAnsi="Calibri"/>
          <w:sz w:val="22"/>
        </w:rPr>
        <w:t>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urier New" w:hAnsi="Courier New"/>
          <w:color w:val="1F4D78"/>
          <w:sz w:val="20"/>
        </w:rPr>
        <w:t>Not Assessed</w:t>
      </w:r>
      <w:r>
        <w:rPr>
          <w:rFonts w:ascii="Calibri" w:hAnsi="Calibri"/>
          <w:sz w:val="22"/>
        </w:rPr>
        <w:t xml:space="preserve"> when no gating claim was defined or evaluated.</w:t>
      </w:r>
    </w:p>
    <w:p>
      <w:r>
        <w:rPr>
          <w:rFonts w:ascii="Calibri" w:hAnsi="Calibri"/>
          <w:sz w:val="22"/>
        </w:rPr>
        <w:t>No averaging is used.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Minimum Manual Workflow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sz w:val="22"/>
        </w:rPr>
        <w:t>Register the supplied source material.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sz w:val="22"/>
        </w:rPr>
        <w:t>Define one investigation and testable claim.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sz w:val="22"/>
        </w:rPr>
        <w:t>Separate facts, assertions, inferences, assumptions, and gaps.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sz w:val="22"/>
        </w:rPr>
        <w:t>Decide sufficiency for technical condition, reachability, and mission consequence.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sz w:val="22"/>
        </w:rPr>
        <w:t>Normalize findings and validate SPARTA mappings.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sz w:val="22"/>
        </w:rPr>
        <w:t>Complete the FARI Result Card.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sz w:val="22"/>
        </w:rPr>
        <w:t>Define required actions and acceptance criteria.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sz w:val="22"/>
        </w:rPr>
        <w:t>Add the result to the consolidated assessment.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Future Web Workflow</w:t>
      </w:r>
    </w:p>
    <w:p>
      <w:r>
        <w:rPr>
          <w:rFonts w:ascii="Calibri" w:hAnsi="Calibri"/>
          <w:sz w:val="22"/>
        </w:rPr>
        <w:t>The future FARI web application should guide the Report Author through the same manual process, preserve source material, validate required decisions, and generate investigation and consolidated reports.</w:t>
      </w:r>
    </w:p>
    <w:p>
      <w:r>
        <w:rPr>
          <w:rFonts w:ascii="Calibri" w:hAnsi="Calibri"/>
          <w:sz w:val="22"/>
        </w:rPr>
        <w:t>First-version priorities:</w:t>
      </w:r>
    </w:p>
    <w:p>
      <w:pPr>
        <w:pStyle w:val="ListBullet"/>
      </w:pPr>
      <w:r>
        <w:rPr>
          <w:rFonts w:ascii="Calibri" w:hAnsi="Calibri"/>
          <w:sz w:val="22"/>
        </w:rPr>
        <w:t>Arbitrary source-material intake.</w:t>
      </w:r>
    </w:p>
    <w:p>
      <w:pPr>
        <w:pStyle w:val="ListBullet"/>
      </w:pPr>
      <w:r>
        <w:rPr>
          <w:rFonts w:ascii="Calibri" w:hAnsi="Calibri"/>
          <w:sz w:val="22"/>
        </w:rPr>
        <w:t>Guided evidence classification and sufficiency decisions.</w:t>
      </w:r>
    </w:p>
    <w:p>
      <w:pPr>
        <w:pStyle w:val="ListBullet"/>
      </w:pPr>
      <w:r>
        <w:rPr>
          <w:rFonts w:ascii="Calibri" w:hAnsi="Calibri"/>
          <w:sz w:val="22"/>
        </w:rPr>
        <w:t>Finding and SPARTA mapping records.</w:t>
      </w:r>
    </w:p>
    <w:p>
      <w:pPr>
        <w:pStyle w:val="ListBullet"/>
      </w:pPr>
      <w:r>
        <w:rPr>
          <w:rFonts w:ascii="Calibri" w:hAnsi="Calibri"/>
          <w:sz w:val="22"/>
        </w:rPr>
        <w:t>Result Card validation.</w:t>
      </w:r>
    </w:p>
    <w:p>
      <w:pPr>
        <w:pStyle w:val="ListBullet"/>
      </w:pPr>
      <w:r>
        <w:rPr>
          <w:rFonts w:ascii="Calibri" w:hAnsi="Calibri"/>
          <w:sz w:val="22"/>
        </w:rPr>
        <w:t>Consolidated conclusion matrix.</w:t>
      </w:r>
    </w:p>
    <w:p>
      <w:pPr>
        <w:pStyle w:val="ListBullet"/>
      </w:pPr>
      <w:r>
        <w:rPr>
          <w:rFonts w:ascii="Calibri" w:hAnsi="Calibri"/>
          <w:sz w:val="22"/>
        </w:rPr>
        <w:t>Report generation, JSON exchange, and revision history.</w:t>
      </w:r>
    </w:p>
    <w:p>
      <w:r>
        <w:rPr>
          <w:rFonts w:ascii="Calibri" w:hAnsi="Calibri"/>
          <w:sz w:val="22"/>
        </w:rPr>
        <w:t>An external-auditor portal and automated vulnerability scoring are not required.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Adoption Checklist</w:t>
      </w:r>
    </w:p>
    <w:p>
      <w:pPr>
        <w:pStyle w:val="ListBullet"/>
      </w:pPr>
      <w:r>
        <w:rPr>
          <w:rFonts w:ascii="Calibri" w:hAnsi="Calibri"/>
          <w:sz w:val="22"/>
        </w:rPr>
        <w:t>[ ] Select one bounded pilot claim.</w:t>
      </w:r>
    </w:p>
    <w:p>
      <w:pPr>
        <w:pStyle w:val="ListBullet"/>
      </w:pPr>
      <w:r>
        <w:rPr>
          <w:rFonts w:ascii="Calibri" w:hAnsi="Calibri"/>
          <w:sz w:val="22"/>
        </w:rPr>
        <w:t>[ ] Accept the auditor's natural source material.</w:t>
      </w:r>
    </w:p>
    <w:p>
      <w:pPr>
        <w:pStyle w:val="ListBullet"/>
      </w:pPr>
      <w:r>
        <w:rPr>
          <w:rFonts w:ascii="Calibri" w:hAnsi="Calibri"/>
          <w:sz w:val="22"/>
        </w:rPr>
        <w:t>[ ] Assign a Report Author.</w:t>
      </w:r>
    </w:p>
    <w:p>
      <w:pPr>
        <w:pStyle w:val="ListBullet"/>
      </w:pPr>
      <w:r>
        <w:rPr>
          <w:rFonts w:ascii="Calibri" w:hAnsi="Calibri"/>
          <w:sz w:val="22"/>
        </w:rPr>
        <w:t>[ ] Produce an investigation Result Card.</w:t>
      </w:r>
    </w:p>
    <w:p>
      <w:pPr>
        <w:pStyle w:val="ListBullet"/>
      </w:pPr>
      <w:r>
        <w:rPr>
          <w:rFonts w:ascii="Calibri" w:hAnsi="Calibri"/>
          <w:sz w:val="22"/>
        </w:rPr>
        <w:t>[ ] Validate the conclusion and scope boundary with stakeholders.</w:t>
      </w:r>
    </w:p>
    <w:p>
      <w:pPr>
        <w:pStyle w:val="ListBullet"/>
      </w:pPr>
      <w:r>
        <w:rPr>
          <w:rFonts w:ascii="Calibri" w:hAnsi="Calibri"/>
          <w:sz w:val="22"/>
        </w:rPr>
        <w:t>[ ] Add a second investigation and produce the consolidated report.</w:t>
      </w:r>
    </w:p>
    <w:p>
      <w:pPr>
        <w:pStyle w:val="ListBullet"/>
      </w:pPr>
      <w:r>
        <w:rPr>
          <w:rFonts w:ascii="Calibri" w:hAnsi="Calibri"/>
          <w:sz w:val="22"/>
        </w:rPr>
        <w:t>[ ] Run a remediation retest and preserve the prior result.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Current Pilot Evidence</w:t>
      </w:r>
    </w:p>
    <w:p>
      <w:r>
        <w:rPr>
          <w:rFonts w:ascii="Calibri" w:hAnsi="Calibri"/>
          <w:sz w:val="22"/>
        </w:rPr>
        <w:t>The current four-case pilot demonstrates:</w:t>
      </w:r>
    </w:p>
    <w:p>
      <w:pPr>
        <w:pStyle w:val="ListBullet"/>
      </w:pPr>
      <w:r>
        <w:rPr>
          <w:rFonts w:ascii="Calibri" w:hAnsi="Calibri"/>
          <w:sz w:val="22"/>
        </w:rPr>
        <w:t>Confirmed technical claim failures.</w:t>
      </w:r>
    </w:p>
    <w:p>
      <w:pPr>
        <w:pStyle w:val="ListBullet"/>
      </w:pPr>
      <w:r>
        <w:rPr>
          <w:rFonts w:ascii="Calibri" w:hAnsi="Calibri"/>
          <w:sz w:val="22"/>
        </w:rPr>
        <w:t xml:space="preserve">Actionable </w:t>
      </w:r>
      <w:r>
        <w:rPr>
          <w:rFonts w:ascii="Courier New" w:hAnsi="Courier New"/>
          <w:color w:val="1F4D78"/>
          <w:sz w:val="20"/>
        </w:rPr>
        <w:t>Inconclusive</w:t>
      </w:r>
      <w:r>
        <w:rPr>
          <w:rFonts w:ascii="Calibri" w:hAnsi="Calibri"/>
          <w:sz w:val="22"/>
        </w:rPr>
        <w:t xml:space="preserve"> outcomes.</w:t>
      </w:r>
    </w:p>
    <w:p>
      <w:pPr>
        <w:pStyle w:val="ListBullet"/>
      </w:pPr>
      <w:r>
        <w:rPr>
          <w:rFonts w:ascii="Calibri" w:hAnsi="Calibri"/>
          <w:sz w:val="22"/>
        </w:rPr>
        <w:t>Contradiction handling.</w:t>
      </w:r>
    </w:p>
    <w:p>
      <w:pPr>
        <w:pStyle w:val="ListBullet"/>
      </w:pPr>
      <w:r>
        <w:rPr>
          <w:rFonts w:ascii="Calibri" w:hAnsi="Calibri"/>
          <w:sz w:val="22"/>
        </w:rPr>
        <w:t>SPARTA mapping correction.</w:t>
      </w:r>
    </w:p>
    <w:p>
      <w:pPr>
        <w:pStyle w:val="ListBullet"/>
      </w:pPr>
      <w:r>
        <w:rPr>
          <w:rFonts w:ascii="Calibri" w:hAnsi="Calibri"/>
          <w:sz w:val="22"/>
        </w:rPr>
        <w:t>Mixed confirmed and candidate findings.</w:t>
      </w:r>
    </w:p>
    <w:p>
      <w:pPr>
        <w:pStyle w:val="ListBullet"/>
      </w:pPr>
      <w:r>
        <w:rPr>
          <w:rFonts w:ascii="Calibri" w:hAnsi="Calibri"/>
          <w:sz w:val="22"/>
        </w:rPr>
        <w:t>Multi-investigation consolidation.</w:t>
      </w:r>
    </w:p>
    <w:p>
      <w:r>
        <w:rPr>
          <w:rFonts w:ascii="Calibri" w:hAnsi="Calibri"/>
          <w:sz w:val="22"/>
        </w:rPr>
        <w:t>Remaining validation priorities are positive control evidence (</w:t>
      </w:r>
      <w:r>
        <w:rPr>
          <w:rFonts w:ascii="Courier New" w:hAnsi="Courier New"/>
          <w:color w:val="1F4D78"/>
          <w:sz w:val="20"/>
        </w:rPr>
        <w:t>Meets</w:t>
      </w:r>
      <w:r>
        <w:rPr>
          <w:rFonts w:ascii="Calibri" w:hAnsi="Calibri"/>
          <w:sz w:val="22"/>
        </w:rPr>
        <w:t>), mission-owner decisions, remediation retest, chain of custody, and transition from Provisional to Final reporting.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8"/>
      </w:rPr>
      <w:t>FARI  |  Framework for Aerospace Research and Investigation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FARI Framework Datasheet: FARI at a Glance</dc:title>
  <dc:subject>Framework Datasheet</dc:subject>
  <dc:creator>FARI Project</dc:creator>
  <cp:keywords>FARI, space cybersecurity, reporting, SPARTA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