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Manual Walkthrough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Case 04: SpaceCAN Spoofing and Replay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A filled, step-by-step Report Author example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Version 0.3 Draft  |  8 June 2026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FARI preserves the auditor's technical independence while giving the Report Author a consistent path from source material to an executive conclusion.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Purpose</w:t>
      </w:r>
    </w:p>
    <w:p>
      <w:r>
        <w:rPr>
          <w:rFonts w:ascii="Calibri" w:hAnsi="Calibri"/>
          <w:sz w:val="22"/>
        </w:rPr>
        <w:t xml:space="preserve">This guide demonstrates how a Report Author can analyze supplied source material and complete a FARI investigation report by hand. It uses </w:t>
      </w:r>
      <w:r>
        <w:rPr>
          <w:rFonts w:ascii="Courier New" w:hAnsi="Courier New"/>
          <w:color w:val="1F4D78"/>
          <w:sz w:val="20"/>
        </w:rPr>
        <w:t>cases/04_Spacecanbus.md</w:t>
      </w:r>
      <w:r>
        <w:rPr>
          <w:rFonts w:ascii="Calibri" w:hAnsi="Calibri"/>
          <w:sz w:val="22"/>
        </w:rPr>
        <w:t xml:space="preserve"> and its screenshots. The external auditor is not required to complete any FARI fields.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Starting Material</w:t>
      </w:r>
    </w:p>
    <w:p>
      <w:r>
        <w:rPr>
          <w:rFonts w:ascii="Calibri" w:hAnsi="Calibri"/>
          <w:sz w:val="22"/>
        </w:rPr>
        <w:t>The Report Author receives:</w:t>
      </w:r>
    </w:p>
    <w:p>
      <w:pPr>
        <w:pStyle w:val="ListBullet"/>
      </w:pPr>
      <w:r>
        <w:rPr>
          <w:rFonts w:ascii="Calibri" w:hAnsi="Calibri"/>
          <w:sz w:val="22"/>
        </w:rPr>
        <w:t>A short scenario and declared white-box, dynamic environment.</w:t>
      </w:r>
    </w:p>
    <w:p>
      <w:pPr>
        <w:pStyle w:val="ListBullet"/>
      </w:pPr>
      <w:r>
        <w:rPr>
          <w:rFonts w:ascii="Calibri" w:hAnsi="Calibri"/>
          <w:sz w:val="22"/>
        </w:rPr>
        <w:t>An injection command for a reply-like SpaceCAN frame.</w:t>
      </w:r>
    </w:p>
    <w:p>
      <w:pPr>
        <w:pStyle w:val="ListBullet"/>
      </w:pPr>
      <w:r>
        <w:rPr>
          <w:rFonts w:ascii="Calibri" w:hAnsi="Calibri"/>
          <w:sz w:val="22"/>
        </w:rPr>
        <w:t>A replay command for previously captured traffic.</w:t>
      </w:r>
    </w:p>
    <w:p>
      <w:pPr>
        <w:pStyle w:val="ListBullet"/>
      </w:pPr>
      <w:r>
        <w:rPr>
          <w:rFonts w:ascii="Calibri" w:hAnsi="Calibri"/>
          <w:sz w:val="22"/>
        </w:rPr>
        <w:t>Screenshots showing injection, replay, and changed monitor values.</w:t>
      </w:r>
    </w:p>
    <w:p>
      <w:pPr>
        <w:pStyle w:val="ListBullet"/>
      </w:pPr>
      <w:r>
        <w:rPr>
          <w:rFonts w:ascii="Calibri" w:hAnsi="Calibri"/>
          <w:sz w:val="22"/>
        </w:rPr>
        <w:t>Expected impact statements and proposed SPARTA mappings.</w:t>
      </w:r>
    </w:p>
    <w:p>
      <w:pPr>
        <w:pStyle w:val="ListBullet"/>
      </w:pPr>
      <w:r>
        <w:rPr>
          <w:rFonts w:ascii="Calibri" w:hAnsi="Calibri"/>
          <w:sz w:val="22"/>
        </w:rPr>
        <w:t>A generic denial-of-service finding unrelated to the SpaceCAN evidence.</w:t>
      </w:r>
    </w:p>
    <w:p>
      <w:r>
        <w:rPr>
          <w:rFonts w:ascii="Calibri" w:hAnsi="Calibri"/>
          <w:sz w:val="22"/>
        </w:rPr>
        <w:t>The task is not to rewrite the auditor's notes. The task is to determine what the material supports, what it does not support, and what decision follows.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Step 1: Register the Source Material</w:t>
      </w:r>
    </w:p>
    <w:p>
      <w:r>
        <w:rPr>
          <w:rFonts w:ascii="Calibri" w:hAnsi="Calibri"/>
          <w:sz w:val="22"/>
        </w:rPr>
        <w:t>Create source-material records without changing the supplied files.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Source 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Supplied Item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Controlled Reference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Initial Note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SRC-SCAN-001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Auditor narrative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cases/04_Spacecanbus.md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Mixed observations, assertions, and proposed mappings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SRC-SCAN-002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Injection screenshot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cases/spacecan_scinjection_cmd_spoof.png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Direct evidence of injection-tool output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SRC-SCAN-003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Replay screenshot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cases/spacecan_screenplay_replay.png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Direct evidence of replay-tool output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SRC-SCAN-004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Monitor comparison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cases/Spacecan_tui_value_change.png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Direct evidence of displayed value differences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Manual note: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Received: 2026-06-08</w:t>
              <w:br/>
              <w:t>Evidence producer: auditor; identity not supplied</w:t>
              <w:br/>
              <w:t>Hashes / revisions: missing</w:t>
              <w:br/>
              <w:t>Handling restrictions: not supplied</w:t>
            </w:r>
          </w:p>
        </w:tc>
      </w:tr>
    </w:tbl>
    <w:p>
      <w:pPr>
        <w:pStyle w:val="Heading2"/>
      </w:pPr>
      <w:r>
        <w:rPr>
          <w:rFonts w:ascii="Calibri" w:hAnsi="Calibri"/>
          <w:color w:val="2E74B5"/>
          <w:sz w:val="26"/>
        </w:rPr>
        <w:t>Step 2: Define the Investigation and Claim</w:t>
      </w:r>
    </w:p>
    <w:p>
      <w:r>
        <w:rPr>
          <w:rFonts w:ascii="Calibri" w:hAnsi="Calibri"/>
          <w:sz w:val="22"/>
        </w:rPr>
        <w:t>Write one testable claim that can be resolved by the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Investigation ID: INV-SCAN-001</w:t>
              <w:br/>
              <w:t>Claim ID: CLM-SCAN-001</w:t>
              <w:br/>
              <w:t>Claim: SpaceCAN monitoring and consumers reject or visibly distinguish</w:t>
              <w:br/>
              <w:t>unauthenticated forged or replayed reply-like frames before treating them as</w:t>
              <w:br/>
              <w:t>trusted state.</w:t>
              <w:br/>
              <w:t>Gating: Yes</w:t>
            </w:r>
          </w:p>
        </w:tc>
      </w:tr>
    </w:tbl>
    <w:p>
      <w:r>
        <w:rPr>
          <w:rFonts w:ascii="Calibri" w:hAnsi="Calibri"/>
          <w:sz w:val="22"/>
        </w:rPr>
        <w:t>Do not use a vague claim such as "SpaceCAN is secure." The exact claim allows a conclusion inside the demonstrated scope.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Step 3: Frame the Scope</w:t>
      </w:r>
    </w:p>
    <w:p>
      <w:r>
        <w:rPr>
          <w:rFonts w:ascii="Calibri" w:hAnsi="Calibri"/>
          <w:sz w:val="22"/>
        </w:rPr>
        <w:t>Fill the Frame section: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Handwritten Entry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Primary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SpaceCAN lab bus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Related asset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SpaceCAN monitor and represented node </w:t>
            </w:r>
            <w:r>
              <w:rPr>
                <w:rFonts w:ascii="Courier New" w:hAnsi="Courier New"/>
                <w:color w:val="1F4D78"/>
                <w:sz w:val="18"/>
              </w:rPr>
              <w:t>0x04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Access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White box, as stated by auditor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Environment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Dynamic local lab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Included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Injection, replay transmission, displayed monitor values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Excluded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Physical actuators, autonomy, production controls, RF path, on-orbit behavior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Assumption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Displayed bus values may inform operators or automated consumers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Authorization gap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rules-of-engagement or safety reference supplied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Step 4: Separate Facts, Assertions, and Inferences</w:t>
      </w:r>
    </w:p>
    <w:p>
      <w:r>
        <w:rPr>
          <w:rFonts w:ascii="Calibri" w:hAnsi="Calibri"/>
          <w:sz w:val="22"/>
        </w:rPr>
        <w:t>This is the most important manual step. Use separate lists or colored marks on paper.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Evidence-Backed Facts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FACT-1: Injection screenshot shows ID 0x304, DLC 2, DATA 01 FF.</w:t>
              <w:br/>
              <w:t>FACT-2: Replay screenshot shows retransmission of multiple frames including 0x304.</w:t>
              <w:br/>
              <w:t>FACT-3: Monitor comparison shows thruster values changing from 12 to 255.</w:t>
              <w:br/>
              <w:t>FACT-4: Displayed status remains nominal in the comparison.</w:t>
            </w:r>
          </w:p>
        </w:tc>
      </w:tr>
    </w:tbl>
    <w:p>
      <w:pPr>
        <w:pStyle w:val="Heading3"/>
      </w:pPr>
      <w:r>
        <w:rPr>
          <w:rFonts w:ascii="Calibri" w:hAnsi="Calibri"/>
          <w:color w:val="1F4D78"/>
          <w:sz w:val="24"/>
        </w:rPr>
        <w:t>Evidence-Producer Assertions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ASSERTION-1: ID 0x304 is a reply from node 0x04.</w:t>
              <w:br/>
              <w:t>ASSERTION-2: Consumers trust reply IDs.</w:t>
              <w:br/>
              <w:t>ASSERTION-3: Replay preserves original timing.</w:t>
              <w:br/>
              <w:t>ASSERTION-4: No authentication or freshness window blocks replay.</w:t>
              <w:br/>
              <w:t>ASSERTION-5: Forged data can poison higher-level decision logic.</w:t>
            </w:r>
          </w:p>
        </w:tc>
      </w:tr>
    </w:tbl>
    <w:p>
      <w:pPr>
        <w:pStyle w:val="Heading3"/>
      </w:pPr>
      <w:r>
        <w:rPr>
          <w:rFonts w:ascii="Calibri" w:hAnsi="Calibri"/>
          <w:color w:val="1F4D78"/>
          <w:sz w:val="24"/>
        </w:rPr>
        <w:t>Report-Author Inferences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INFERENCE-1: The lab monitor displays state that can be influenced by injected traffic.</w:t>
              <w:br/>
              <w:t>INFERENCE-2: The value change is consistent with injection, but the exact causal</w:t>
              <w:br/>
              <w:t>capture is incomplete.</w:t>
              <w:br/>
              <w:t>INFERENCE-3: Replay transmission is demonstrated; replay-specific receiver</w:t>
              <w:br/>
              <w:t>acceptance is not isolated.</w:t>
            </w:r>
          </w:p>
        </w:tc>
      </w:tr>
    </w:tbl>
    <w:p>
      <w:r>
        <w:rPr>
          <w:rFonts w:ascii="Calibri" w:hAnsi="Calibri"/>
          <w:sz w:val="22"/>
        </w:rPr>
        <w:t>Never move an assertion or inference into the facts list without new evidence.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Step 5: Record Contradictions and Gaps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Manual Entry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Decision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GAP-SCAN-001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Generic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DoS finding is unrelated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Exclude from report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GAP-SCAN-002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Same monitor screenshot is used for spoofing and replay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Keep replay-specific effect candidate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GAP-SCAN-003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Exact meaning of </w:t>
            </w:r>
            <w:r>
              <w:rPr>
                <w:rFonts w:ascii="Courier New" w:hAnsi="Courier New"/>
                <w:color w:val="1F4D78"/>
                <w:sz w:val="18"/>
              </w:rPr>
              <w:t>01 FF</w:t>
            </w:r>
            <w:r>
              <w:rPr>
                <w:rFonts w:ascii="Calibri" w:hAnsi="Calibri"/>
                <w:color w:val="0B2545"/>
                <w:sz w:val="18"/>
              </w:rPr>
              <w:t xml:space="preserve"> is 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Describe display change only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GAP-SCAN-004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control configuration proves missing authentication/freshness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Request source/configuration evidence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GAP-SCAN-005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Status remains nominal, but alarm semantics are unknown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Record possible detection gap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Step 6: Make the Three Sufficiency Decisions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Sufficiency Question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Entry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Why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Technical condition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Sufficient for lab display-trust failure; partial for replay effect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Injection/replay actions and displayed change are evidenced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Reachability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Local bus access is demonstrated; operational path is unknown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Mission consequence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Misleading display is observed; physical/autonomous effect is not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These three decisions prevent a demonstrated lab issue from being overstated as a demonstrated on-orbit mission impact.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Step 7: Normalize Findings</w:t>
      </w:r>
    </w:p>
    <w:p>
      <w:pPr>
        <w:pStyle w:val="Heading3"/>
      </w:pPr>
      <w:r>
        <w:rPr>
          <w:rFonts w:ascii="Calibri" w:hAnsi="Calibri"/>
          <w:color w:val="1F4D78"/>
          <w:sz w:val="24"/>
        </w:rPr>
        <w:t>Finding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ID: FND-SCAN-001</w:t>
              <w:br/>
              <w:t>Title: Forged reply-like frame influences displayed telemetry</w:t>
              <w:br/>
              <w:t>State: Confirmed within lab monitor scope</w:t>
              <w:br/>
              <w:t>Observed effect: Displayed thruster values change from 12 to 255</w:t>
              <w:br/>
              <w:t>Technical confidence: Medium</w:t>
              <w:br/>
              <w:t>Operational reachability confidence: Low</w:t>
              <w:br/>
              <w:t>Mission consequence confidence: Low</w:t>
            </w:r>
          </w:p>
        </w:tc>
      </w:tr>
    </w:tbl>
    <w:p>
      <w:pPr>
        <w:pStyle w:val="Heading3"/>
      </w:pPr>
      <w:r>
        <w:rPr>
          <w:rFonts w:ascii="Calibri" w:hAnsi="Calibri"/>
          <w:color w:val="1F4D78"/>
          <w:sz w:val="24"/>
        </w:rPr>
        <w:t>Finding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ID: FND-SCAN-002</w:t>
              <w:br/>
              <w:t>Title: Captured SpaceCAN traffic can be replayed</w:t>
              <w:br/>
              <w:t>State: Candidate for receiver/control failure; transmission confirmed</w:t>
              <w:br/>
              <w:t>Observed effect: Replay tool retransmits recorded frames</w:t>
              <w:br/>
              <w:t>Missing proof: Receiver reaction caused specifically by replay</w:t>
            </w:r>
          </w:p>
        </w:tc>
      </w:tr>
    </w:tbl>
    <w:p>
      <w:r>
        <w:rPr>
          <w:rFonts w:ascii="Calibri" w:hAnsi="Calibri"/>
          <w:sz w:val="22"/>
        </w:rPr>
        <w:t>One investigation may contain findings with different states.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Step 8: Validate SPARTA Mappings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Mapping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Handwritten Decision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EX-0014.02 Bus Traffic Spoofing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Confirmed in lab scope; directly describes forged internal-bus traffic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EX-0001.02 Bus Traffic Replay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Confirmed for transmission; candidate for receiver effect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DE-0002.03 Inhibit Spacecraft Functionality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Candidate; no inhibited spacecraft function is demonstrated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REC-0005.01 Uplink Intercept Eavesdropping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selected; no uplink interception is evidenced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SPARTA explains the behavior. It does not create evidence or determine the FARI Conclusion automatically.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Step 9: Complete the FARI Result Card</w:t>
      </w:r>
    </w:p>
    <w:p>
      <w:r>
        <w:rPr>
          <w:rFonts w:ascii="Calibri" w:hAnsi="Calibri"/>
          <w:sz w:val="22"/>
        </w:rPr>
        <w:t>Start with the claim, then compare it with the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Filled Result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Conclusion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Does Not Meet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Medium within the lab monitoring scope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displayed state is trusted for operational decisions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Supplied lab injection/replay tools and monitor screenshots; physical and on-orbit behavior excluded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Rationale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Forged traffic and changed displayed values demonstrate failure of the lab-scope claim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 xml:space="preserve">Why this is not </w:t>
      </w:r>
      <w:r>
        <w:rPr>
          <w:rFonts w:ascii="Courier New" w:hAnsi="Courier New"/>
          <w:color w:val="1F4D78"/>
          <w:sz w:val="20"/>
        </w:rPr>
        <w:t>Inconclusive</w:t>
      </w:r>
      <w:r>
        <w:rPr>
          <w:rFonts w:ascii="Calibri" w:hAnsi="Calibri"/>
          <w:sz w:val="22"/>
        </w:rPr>
        <w:t>: the defined claim requires forged state to be rejected or visibly distinguished before trusted display, and the evidenced lab monitor behavior fails that claim.</w:t>
      </w:r>
    </w:p>
    <w:p>
      <w:r>
        <w:rPr>
          <w:rFonts w:ascii="Calibri" w:hAnsi="Calibri"/>
          <w:sz w:val="22"/>
        </w:rPr>
        <w:t xml:space="preserve">Why this is not a mission-wide </w:t>
      </w:r>
      <w:r>
        <w:rPr>
          <w:rFonts w:ascii="Courier New" w:hAnsi="Courier New"/>
          <w:color w:val="1F4D78"/>
          <w:sz w:val="20"/>
        </w:rPr>
        <w:t>Does Not Meet</w:t>
      </w:r>
      <w:r>
        <w:rPr>
          <w:rFonts w:ascii="Calibri" w:hAnsi="Calibri"/>
          <w:sz w:val="22"/>
        </w:rPr>
        <w:t>: the scope boundary excludes physical consumers, production controls, and on-orbit behavior.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Step 10: Define Action and Acceptance Criteria</w:t>
      </w:r>
    </w:p>
    <w:p>
      <w:r>
        <w:rPr>
          <w:rFonts w:ascii="Calibri" w:hAnsi="Calibri"/>
          <w:sz w:val="22"/>
        </w:rPr>
        <w:t>Write actions that can be closed by evidence: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ourier New" w:hAnsi="Courier New"/>
                <w:color w:val="0B2545"/>
                <w:sz w:val="17"/>
              </w:rPr>
              <w:t>Action: Implement origin/freshness validation and untrusted-data indication.</w:t>
              <w:br/>
              <w:t>Acceptance criterion 1: Forged reply-like frames are rejected or clearly marked.</w:t>
              <w:br/>
              <w:t>Acceptance criterion 2: Replayed frames outside the freshness window are rejected.</w:t>
              <w:br/>
              <w:t>Acceptance criterion 3: Critical consumers do not act on unauthenticated state.</w:t>
              <w:br/>
              <w:t>Acceptance criterion 4: Representative retest covers monitoring, control,</w:t>
              <w:br/>
              <w:t>autonomy, alarms, and recovery.</w:t>
            </w:r>
          </w:p>
        </w:tc>
      </w:tr>
    </w:tbl>
    <w:p>
      <w:pPr>
        <w:pStyle w:val="Heading2"/>
      </w:pPr>
      <w:r>
        <w:rPr>
          <w:rFonts w:ascii="Calibri" w:hAnsi="Calibri"/>
          <w:color w:val="2E74B5"/>
          <w:sz w:val="26"/>
        </w:rPr>
        <w:t>Step 11: Add the Investigation to the Consolidated Report</w:t>
      </w:r>
    </w:p>
    <w:p>
      <w:r>
        <w:rPr>
          <w:rFonts w:ascii="Calibri" w:hAnsi="Calibri"/>
          <w:sz w:val="22"/>
        </w:rPr>
        <w:t>Add one row: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Investigation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Gating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Conclusion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Confidence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Action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Medium in lab monitor scope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Because this is a gating claim and it is Does Not Meet, the overall portfolio cannot conclude Meets.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Completed Manual Checklist</w:t>
      </w:r>
    </w:p>
    <w:p>
      <w:pPr>
        <w:pStyle w:val="ListBullet"/>
      </w:pPr>
      <w:r>
        <w:rPr>
          <w:rFonts w:ascii="Calibri" w:hAnsi="Calibri"/>
          <w:sz w:val="22"/>
        </w:rPr>
        <w:t>[x] Source material preserved and registered.</w:t>
      </w:r>
    </w:p>
    <w:p>
      <w:pPr>
        <w:pStyle w:val="ListBullet"/>
      </w:pPr>
      <w:r>
        <w:rPr>
          <w:rFonts w:ascii="Calibri" w:hAnsi="Calibri"/>
          <w:sz w:val="22"/>
        </w:rPr>
        <w:t>[x] Claim and exact scope defined.</w:t>
      </w:r>
    </w:p>
    <w:p>
      <w:pPr>
        <w:pStyle w:val="ListBullet"/>
      </w:pPr>
      <w:r>
        <w:rPr>
          <w:rFonts w:ascii="Calibri" w:hAnsi="Calibri"/>
          <w:sz w:val="22"/>
        </w:rPr>
        <w:t>[x] Facts, assertions, inferences, and assumptions separated.</w:t>
      </w:r>
    </w:p>
    <w:p>
      <w:pPr>
        <w:pStyle w:val="ListBullet"/>
      </w:pPr>
      <w:r>
        <w:rPr>
          <w:rFonts w:ascii="Calibri" w:hAnsi="Calibri"/>
          <w:sz w:val="22"/>
        </w:rPr>
        <w:t>[x] Contradictions and missing information recorded.</w:t>
      </w:r>
    </w:p>
    <w:p>
      <w:pPr>
        <w:pStyle w:val="ListBullet"/>
      </w:pPr>
      <w:r>
        <w:rPr>
          <w:rFonts w:ascii="Calibri" w:hAnsi="Calibri"/>
          <w:sz w:val="22"/>
        </w:rPr>
        <w:t>[x] Technical, reachability, and mission-consequence sufficiency decided.</w:t>
      </w:r>
    </w:p>
    <w:p>
      <w:pPr>
        <w:pStyle w:val="ListBullet"/>
      </w:pPr>
      <w:r>
        <w:rPr>
          <w:rFonts w:ascii="Calibri" w:hAnsi="Calibri"/>
          <w:sz w:val="22"/>
        </w:rPr>
        <w:t>[x] Findings normalized and mapped to SPARTA with rationale.</w:t>
      </w:r>
    </w:p>
    <w:p>
      <w:pPr>
        <w:pStyle w:val="ListBullet"/>
      </w:pPr>
      <w:r>
        <w:rPr>
          <w:rFonts w:ascii="Calibri" w:hAnsi="Calibri"/>
          <w:sz w:val="22"/>
        </w:rPr>
        <w:t>[x] Investigation Result Card completed.</w:t>
      </w:r>
    </w:p>
    <w:p>
      <w:pPr>
        <w:pStyle w:val="ListBullet"/>
      </w:pPr>
      <w:r>
        <w:rPr>
          <w:rFonts w:ascii="Calibri" w:hAnsi="Calibri"/>
          <w:sz w:val="22"/>
        </w:rPr>
        <w:t>[x] Actions and acceptance criteria defined.</w:t>
      </w:r>
    </w:p>
    <w:p>
      <w:pPr>
        <w:pStyle w:val="ListBullet"/>
      </w:pPr>
      <w:r>
        <w:rPr>
          <w:rFonts w:ascii="Calibri" w:hAnsi="Calibri"/>
          <w:sz w:val="22"/>
        </w:rPr>
        <w:t>[x] Result added to consolidated assessment.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Web Workflow Translation</w:t>
      </w:r>
    </w:p>
    <w:p>
      <w:r>
        <w:rPr>
          <w:rFonts w:ascii="Calibri" w:hAnsi="Calibri"/>
          <w:sz w:val="22"/>
        </w:rPr>
        <w:t>A future FARI web application should implement these same steps as a guided Report Author workflow: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Diagram source is available in the canonical Markdown edition.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web application may make the work faster, but it must preserve the same manual reasoning and evidence boundaries.</w:t>
      </w:r>
    </w:p>
    <w:p>
      <w:r>
        <w:br w:type="page"/>
      </w:r>
    </w:p>
    <w:p>
      <w:pPr>
        <w:pStyle w:val="Heading1"/>
      </w:pPr>
      <w:r>
        <w:t>Evidence Visuals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These figures reproduce supplied source material for the walkthrough. They do not expand the evidence boundary described in the analysis.</w:t>
            </w:r>
          </w:p>
        </w:tc>
      </w:tr>
    </w:tbl>
    <w:p>
      <w:pPr>
        <w:spacing w:after="20"/>
      </w:pPr>
    </w:p>
    <w:p>
      <w:pPr>
        <w:pStyle w:val="Heading2"/>
      </w:pPr>
      <w:r>
        <w:t>Spacecan Scinjection Cmd Spoof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58788"/>
            <wp:docPr id="1" name="Picture 1" descr="Supplied evidence screenshot: spacecan scinjection cmd spoof" title="Supplied evidence screenshot: spacecan scinjection cmd spoo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can_scinjection_cmd_spoo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7085"/>
          <w:sz w:val="18"/>
        </w:rPr>
        <w:t>Supplied source material: cases/spacecan_scinjection_cmd_spoof.png</w:t>
      </w:r>
    </w:p>
    <w:p>
      <w:pPr>
        <w:pStyle w:val="Heading2"/>
      </w:pPr>
      <w:r>
        <w:t>Spacecan Screenplay Replay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58788"/>
            <wp:docPr id="2" name="Picture 2" descr="Supplied evidence screenshot: spacecan screenplay replay" title="Supplied evidence screenshot: spacecan screenplay repl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can_screenplay_rep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7085"/>
          <w:sz w:val="18"/>
        </w:rPr>
        <w:t>Supplied source material: cases/spacecan_screenplay_replay.png</w:t>
      </w:r>
    </w:p>
    <w:p>
      <w:pPr>
        <w:pStyle w:val="Heading2"/>
      </w:pPr>
      <w:r>
        <w:t>Spacecan Tui Value Change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4232"/>
            <wp:docPr id="3" name="Picture 3" descr="Supplied evidence screenshot: Spacecan tui value change" title="Supplied evidence screenshot: Spacecan tui value chan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can_tui_value_ch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7085"/>
          <w:sz w:val="18"/>
        </w:rPr>
        <w:t>Supplied source material: cases/Spacecan_tui_value_change.png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FARI Manual Walkthrough: Case 04: SpaceCAN Spoofing and Replay</dc:title>
  <dc:subject>Manual Walkthrough</dc:subject>
  <dc:creator>FARI Project</dc:creator>
  <cp:keywords>FARI, space cybersecurity, reporting, SPARTA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