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Calibri" w:hAnsi="Calibri"/>
          <w:b/>
          <w:color w:val="0B2545"/>
          <w:sz w:val="64"/>
        </w:rPr>
        <w:t>FARI</w:t>
      </w:r>
    </w:p>
    <w:p>
      <w:pPr>
        <w:spacing w:after="160"/>
        <w:jc w:val="center"/>
      </w:pPr>
      <w:r>
        <w:rPr>
          <w:rFonts w:ascii="Calibri" w:hAnsi="Calibri"/>
          <w:b/>
          <w:color w:val="2E74B5"/>
          <w:sz w:val="36"/>
        </w:rPr>
        <w:t>Framework for Aerospace Research and Investigation</w:t>
      </w:r>
    </w:p>
    <w:p>
      <w:pPr>
        <w:spacing w:after="520"/>
        <w:jc w:val="center"/>
      </w:pPr>
      <w:r>
        <w:rPr>
          <w:rFonts w:ascii="Calibri" w:hAnsi="Calibri"/>
          <w:color w:val="667085"/>
          <w:sz w:val="26"/>
        </w:rPr>
        <w:t>Methodology, Integration Profile, Examples, and Process Validation</w:t>
      </w:r>
    </w:p>
    <w:p>
      <w:pPr>
        <w:spacing w:after="120"/>
        <w:jc w:val="center"/>
      </w:pPr>
      <w:r>
        <w:rPr>
          <w:rFonts w:ascii="Calibri" w:hAnsi="Calibri"/>
          <w:b/>
          <w:color w:val="667085"/>
          <w:sz w:val="21"/>
        </w:rPr>
        <w:t>Version 0.3 Draft  |  8 June 2026</w:t>
      </w:r>
    </w:p>
    <w:p/>
    <w:p/>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after="80"/>
              <w:jc w:val="center"/>
            </w:pPr>
            <w:r>
              <w:rPr>
                <w:rFonts w:ascii="Calibri" w:hAnsi="Calibri"/>
                <w:b/>
                <w:color w:val="0B2545"/>
                <w:sz w:val="22"/>
              </w:rPr>
              <w:t>FRAME</w:t>
            </w:r>
          </w:p>
          <w:p>
            <w:pPr>
              <w:spacing w:after="0"/>
              <w:jc w:val="center"/>
            </w:pPr>
            <w:r>
              <w:rPr>
                <w:rFonts w:ascii="Calibri" w:hAnsi="Calibri"/>
                <w:color w:val="667085"/>
                <w:sz w:val="18"/>
              </w:rPr>
              <w:t>Mission, scope, authorization</w:t>
            </w:r>
          </w:p>
        </w:tc>
        <w:tc>
          <w:tcPr>
            <w:tcW w:type="dxa" w:w="2340"/>
            <w:tcMar>
              <w:top w:w="80" w:type="dxa"/>
              <w:start w:w="120" w:type="dxa"/>
              <w:bottom w:w="80" w:type="dxa"/>
              <w:end w:w="120" w:type="dxa"/>
            </w:tcMar>
            <w:vAlign w:val="center"/>
            <w:shd w:fill="F2F4F7"/>
          </w:tcPr>
          <w:p>
            <w:pPr>
              <w:spacing w:after="80"/>
              <w:jc w:val="center"/>
            </w:pPr>
            <w:r>
              <w:rPr>
                <w:rFonts w:ascii="Calibri" w:hAnsi="Calibri"/>
                <w:b/>
                <w:color w:val="0B2545"/>
                <w:sz w:val="22"/>
              </w:rPr>
              <w:t>ACQUIRE</w:t>
            </w:r>
          </w:p>
          <w:p>
            <w:pPr>
              <w:spacing w:after="0"/>
              <w:jc w:val="center"/>
            </w:pPr>
            <w:r>
              <w:rPr>
                <w:rFonts w:ascii="Calibri" w:hAnsi="Calibri"/>
                <w:color w:val="667085"/>
                <w:sz w:val="18"/>
              </w:rPr>
              <w:t>Evidence intake and sufficiency</w:t>
            </w:r>
          </w:p>
        </w:tc>
        <w:tc>
          <w:tcPr>
            <w:tcW w:type="dxa" w:w="2340"/>
            <w:tcMar>
              <w:top w:w="80" w:type="dxa"/>
              <w:start w:w="120" w:type="dxa"/>
              <w:bottom w:w="80" w:type="dxa"/>
              <w:end w:w="120" w:type="dxa"/>
            </w:tcMar>
            <w:vAlign w:val="center"/>
            <w:shd w:fill="E8EEF5"/>
          </w:tcPr>
          <w:p>
            <w:pPr>
              <w:spacing w:after="80"/>
              <w:jc w:val="center"/>
            </w:pPr>
            <w:r>
              <w:rPr>
                <w:rFonts w:ascii="Calibri" w:hAnsi="Calibri"/>
                <w:b/>
                <w:color w:val="0B2545"/>
                <w:sz w:val="22"/>
              </w:rPr>
              <w:t>RELATE</w:t>
            </w:r>
          </w:p>
          <w:p>
            <w:pPr>
              <w:spacing w:after="0"/>
              <w:jc w:val="center"/>
            </w:pPr>
            <w:r>
              <w:rPr>
                <w:rFonts w:ascii="Calibri" w:hAnsi="Calibri"/>
                <w:color w:val="667085"/>
                <w:sz w:val="18"/>
              </w:rPr>
              <w:t>SPARTA, findings, conclusions</w:t>
            </w:r>
          </w:p>
        </w:tc>
        <w:tc>
          <w:tcPr>
            <w:tcW w:type="dxa" w:w="2340"/>
            <w:tcMar>
              <w:top w:w="80" w:type="dxa"/>
              <w:start w:w="120" w:type="dxa"/>
              <w:bottom w:w="80" w:type="dxa"/>
              <w:end w:w="120" w:type="dxa"/>
            </w:tcMar>
            <w:vAlign w:val="center"/>
            <w:shd w:fill="F2F4F7"/>
          </w:tcPr>
          <w:p>
            <w:pPr>
              <w:spacing w:after="80"/>
              <w:jc w:val="center"/>
            </w:pPr>
            <w:r>
              <w:rPr>
                <w:rFonts w:ascii="Calibri" w:hAnsi="Calibri"/>
                <w:b/>
                <w:color w:val="0B2545"/>
                <w:sz w:val="22"/>
              </w:rPr>
              <w:t>INFORM</w:t>
            </w:r>
          </w:p>
          <w:p>
            <w:pPr>
              <w:spacing w:after="0"/>
              <w:jc w:val="center"/>
            </w:pPr>
            <w:r>
              <w:rPr>
                <w:rFonts w:ascii="Calibri" w:hAnsi="Calibri"/>
                <w:color w:val="667085"/>
                <w:sz w:val="18"/>
              </w:rPr>
              <w:t>Result cards, consolidation, action</w:t>
            </w:r>
          </w:p>
        </w:tc>
      </w:tr>
    </w:tbl>
    <w:p>
      <w:pPr>
        <w:spacing w:before="400"/>
        <w:jc w:val="center"/>
      </w:pPr>
      <w:r>
        <w:rPr>
          <w:rFonts w:ascii="Calibri" w:hAnsi="Calibri"/>
          <w:i/>
          <w:color w:val="667085"/>
          <w:sz w:val="19"/>
        </w:rPr>
        <w:t>Canonical source: repository Markdown and JSON schema. This Word guide is a derived reference edition.</w:t>
      </w:r>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FARI is a top-level integration and assurance framework. It does not replace technical audit methods or burden external auditors; it makes their source material, context, coverage, and qualitative executive conclusions interoperable.</w:t>
            </w:r>
          </w:p>
        </w:tc>
      </w:tr>
    </w:tbl>
    <w:p>
      <w:pPr>
        <w:spacing w:after="20"/>
      </w:pPr>
    </w:p>
    <w:p>
      <w:r>
        <w:rPr>
          <w:rFonts w:ascii="Calibri" w:hAnsi="Calibri"/>
          <w:b/>
          <w:sz w:val="22"/>
        </w:rPr>
        <w:t>FARI Methodology, Version 0.3 Draft</w:t>
      </w:r>
    </w:p>
    <w:p>
      <w:pPr>
        <w:pStyle w:val="Heading2"/>
      </w:pPr>
      <w:r>
        <w:rPr>
          <w:rFonts w:ascii="Calibri" w:hAnsi="Calibri"/>
          <w:color w:val="2E74B5"/>
          <w:sz w:val="26"/>
        </w:rPr>
        <w:t>1. Purpose</w:t>
      </w:r>
    </w:p>
    <w:p>
      <w:r>
        <w:rPr>
          <w:rFonts w:ascii="Calibri" w:hAnsi="Calibri"/>
          <w:sz w:val="22"/>
        </w:rPr>
        <w:t>The Framework for Aerospace Research and Investigation (FARI) is a top-level research, investigation, and reporting framework for space systems. It allows multiple evidence producers to use the methods best suited to their targets while enabling a report author to produce one traceable, mission-centered body of evidence, conclusive investigation reports, and one consolidated executive assessment report.</w:t>
      </w:r>
    </w:p>
    <w:p>
      <w:r>
        <w:rPr>
          <w:rFonts w:ascii="Calibri" w:hAnsi="Calibri"/>
          <w:sz w:val="22"/>
        </w:rPr>
        <w:t>FARI does not prescribe how to reverse engineer firmware, fuzz a protocol, assess a web application, analyze RF, or test hardware. Those activities are performed using auditor-selected methods. FARI specifies the minimum information that must surround those activities so their results can be understood, compared, combined, challenged, and acted upon.</w:t>
      </w:r>
    </w:p>
    <w:p>
      <w:pPr>
        <w:pStyle w:val="Heading3"/>
      </w:pPr>
      <w:r>
        <w:rPr>
          <w:rFonts w:ascii="Calibri" w:hAnsi="Calibri"/>
          <w:color w:val="1F4D78"/>
          <w:sz w:val="24"/>
        </w:rPr>
        <w:t>1.1 The problem FARI solves</w:t>
      </w:r>
    </w:p>
    <w:p>
      <w:r>
        <w:rPr>
          <w:rFonts w:ascii="Calibri" w:hAnsi="Calibri"/>
          <w:sz w:val="22"/>
        </w:rPr>
        <w:t>Space-system audits are fragmented by technical domain, mission segment, supplier, access level, and assessment method. A static source review and an authorized RF test may both reveal important risks, but their evidence, limitations, and conclusions are not naturally comparable.</w:t>
      </w:r>
    </w:p>
    <w:p>
      <w:r>
        <w:rPr>
          <w:rFonts w:ascii="Calibri" w:hAnsi="Calibri"/>
          <w:sz w:val="22"/>
        </w:rPr>
        <w:t>FARI supplies the integration layer: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3"/>
      </w:pPr>
      <w:r>
        <w:rPr>
          <w:rFonts w:ascii="Calibri" w:hAnsi="Calibri"/>
          <w:color w:val="1F4D78"/>
          <w:sz w:val="24"/>
        </w:rPr>
        <w:t>1.2 Normative language</w:t>
      </w:r>
    </w:p>
    <w:p>
      <w:r>
        <w:rPr>
          <w:rFonts w:ascii="Calibri" w:hAnsi="Calibri"/>
          <w:sz w:val="22"/>
        </w:rPr>
        <w:t xml:space="preserve">The terms </w:t>
      </w:r>
      <w:r>
        <w:rPr>
          <w:rFonts w:ascii="Calibri" w:hAnsi="Calibri"/>
          <w:b/>
          <w:sz w:val="22"/>
        </w:rPr>
        <w:t>MUST</w:t>
      </w:r>
      <w:r>
        <w:rPr>
          <w:rFonts w:ascii="Calibri" w:hAnsi="Calibri"/>
          <w:sz w:val="22"/>
        </w:rPr>
        <w:t xml:space="preserve">, </w:t>
      </w:r>
      <w:r>
        <w:rPr>
          <w:rFonts w:ascii="Calibri" w:hAnsi="Calibri"/>
          <w:b/>
          <w:sz w:val="22"/>
        </w:rPr>
        <w:t>SHOULD</w:t>
      </w:r>
      <w:r>
        <w:rPr>
          <w:rFonts w:ascii="Calibri" w:hAnsi="Calibri"/>
          <w:sz w:val="22"/>
        </w:rPr>
        <w:t xml:space="preserve">, and </w:t>
      </w:r>
      <w:r>
        <w:rPr>
          <w:rFonts w:ascii="Calibri" w:hAnsi="Calibri"/>
          <w:b/>
          <w:sz w:val="22"/>
        </w:rPr>
        <w:t>MAY</w:t>
      </w:r>
      <w:r>
        <w:rPr>
          <w:rFonts w:ascii="Calibri" w:hAnsi="Calibri"/>
          <w:sz w:val="22"/>
        </w:rPr>
        <w:t xml:space="preserve"> indicate required, recommended, and optional FARI practices.</w:t>
      </w:r>
    </w:p>
    <w:p>
      <w:pPr>
        <w:pStyle w:val="Heading2"/>
      </w:pPr>
      <w:r>
        <w:rPr>
          <w:rFonts w:ascii="Calibri" w:hAnsi="Calibri"/>
          <w:color w:val="2E74B5"/>
          <w:sz w:val="26"/>
        </w:rPr>
        <w:t>2. Scope</w:t>
      </w:r>
    </w:p>
    <w:p>
      <w:r>
        <w:rPr>
          <w:rFonts w:ascii="Calibri" w:hAnsi="Calibri"/>
          <w:sz w:val="22"/>
        </w:rPr>
        <w:t>FARI can organize assessments of:</w:t>
      </w:r>
    </w:p>
    <w:p>
      <w:pPr>
        <w:pStyle w:val="ListBullet"/>
      </w:pPr>
      <w:r>
        <w:rPr>
          <w:rFonts w:ascii="Calibri" w:hAnsi="Calibri"/>
          <w:b/>
          <w:sz w:val="22"/>
        </w:rPr>
        <w:t>Space segment:</w:t>
      </w:r>
      <w:r>
        <w:rPr>
          <w:rFonts w:ascii="Calibri" w:hAnsi="Calibri"/>
          <w:sz w:val="22"/>
        </w:rPr>
        <w:t xml:space="preserve"> spacecraft bus, payload, flight software, firmware, onboard networks, hardware, radios, autonomous functions, and supporting engineering models.</w:t>
      </w:r>
    </w:p>
    <w:p>
      <w:pPr>
        <w:pStyle w:val="ListBullet"/>
      </w:pPr>
      <w:r>
        <w:rPr>
          <w:rFonts w:ascii="Calibri" w:hAnsi="Calibri"/>
          <w:b/>
          <w:sz w:val="22"/>
        </w:rPr>
        <w:t>Ground segment:</w:t>
      </w:r>
      <w:r>
        <w:rPr>
          <w:rFonts w:ascii="Calibri" w:hAnsi="Calibri"/>
          <w:sz w:val="22"/>
        </w:rPr>
        <w:t xml:space="preserve"> mission operations, ground stations, Ground Station as a Service (GSaaS), cloud services, command and control, operator endpoints, development systems, and supply-chain services.</w:t>
      </w:r>
    </w:p>
    <w:p>
      <w:pPr>
        <w:pStyle w:val="ListBullet"/>
      </w:pPr>
      <w:r>
        <w:rPr>
          <w:rFonts w:ascii="Calibri" w:hAnsi="Calibri"/>
          <w:b/>
          <w:sz w:val="22"/>
        </w:rPr>
        <w:t>User segment:</w:t>
      </w:r>
      <w:r>
        <w:rPr>
          <w:rFonts w:ascii="Calibri" w:hAnsi="Calibri"/>
          <w:sz w:val="22"/>
        </w:rPr>
        <w:t xml:space="preserve"> terminals, modems, receivers, customer applications, field equipment, and downstream data consumers.</w:t>
      </w:r>
    </w:p>
    <w:p>
      <w:pPr>
        <w:pStyle w:val="ListBullet"/>
      </w:pPr>
      <w:r>
        <w:rPr>
          <w:rFonts w:ascii="Calibri" w:hAnsi="Calibri"/>
          <w:b/>
          <w:sz w:val="22"/>
        </w:rPr>
        <w:t>Link and cross-segment paths:</w:t>
      </w:r>
      <w:r>
        <w:rPr>
          <w:rFonts w:ascii="Calibri" w:hAnsi="Calibri"/>
          <w:sz w:val="22"/>
        </w:rPr>
        <w:t xml:space="preserve"> RF, optical, wired, logical, and operational paths connecting the segments.</w:t>
      </w:r>
    </w:p>
    <w:p>
      <w:r>
        <w:rPr>
          <w:rFonts w:ascii="Calibri" w:hAnsi="Calibri"/>
          <w:sz w:val="22"/>
        </w:rPr>
        <w:t>FARI supports white-box, grey-box, and black-box engagements, as well as mixed engagements where access differs by asset.</w:t>
      </w:r>
    </w:p>
    <w:p>
      <w:pPr>
        <w:pStyle w:val="Heading2"/>
      </w:pPr>
      <w:r>
        <w:rPr>
          <w:rFonts w:ascii="Calibri" w:hAnsi="Calibri"/>
          <w:color w:val="2E74B5"/>
          <w:sz w:val="26"/>
        </w:rPr>
        <w:t>3. Design Principles</w:t>
      </w:r>
    </w:p>
    <w:p>
      <w:pPr>
        <w:spacing w:after="80" w:line="300" w:lineRule="auto"/>
        <w:numPr>
          <w:ilvl w:val="0"/>
          <w:numId w:val="10"/>
        </w:numPr>
      </w:pPr>
      <w:r>
        <w:rPr>
          <w:rFonts w:ascii="Calibri" w:hAnsi="Calibri"/>
          <w:b/>
          <w:sz w:val="22"/>
        </w:rPr>
        <w:t>Mission first.</w:t>
      </w:r>
      <w:r>
        <w:rPr>
          <w:rFonts w:ascii="Calibri" w:hAnsi="Calibri"/>
          <w:sz w:val="22"/>
        </w:rPr>
        <w:t xml:space="preserve"> Risk is expressed as possible harm to mission objectives, not only as technical severity.</w:t>
      </w:r>
    </w:p>
    <w:p>
      <w:pPr>
        <w:spacing w:after="80" w:line="300" w:lineRule="auto"/>
        <w:numPr>
          <w:ilvl w:val="0"/>
          <w:numId w:val="10"/>
        </w:numPr>
      </w:pPr>
      <w:r>
        <w:rPr>
          <w:rFonts w:ascii="Calibri" w:hAnsi="Calibri"/>
          <w:b/>
          <w:sz w:val="22"/>
        </w:rPr>
        <w:t>Method agnostic.</w:t>
      </w:r>
      <w:r>
        <w:rPr>
          <w:rFonts w:ascii="Calibri" w:hAnsi="Calibri"/>
          <w:sz w:val="22"/>
        </w:rPr>
        <w:t xml:space="preserve"> FARI accepts results from any defensible research or assessment method.</w:t>
      </w:r>
    </w:p>
    <w:p>
      <w:pPr>
        <w:spacing w:after="80" w:line="300" w:lineRule="auto"/>
        <w:numPr>
          <w:ilvl w:val="0"/>
          <w:numId w:val="10"/>
        </w:numPr>
      </w:pPr>
      <w:r>
        <w:rPr>
          <w:rFonts w:ascii="Calibri" w:hAnsi="Calibri"/>
          <w:b/>
          <w:sz w:val="22"/>
        </w:rPr>
        <w:t>Evidence first.</w:t>
      </w:r>
      <w:r>
        <w:rPr>
          <w:rFonts w:ascii="Calibri" w:hAnsi="Calibri"/>
          <w:sz w:val="22"/>
        </w:rPr>
        <w:t xml:space="preserve"> Every conclusion is traceable to evidence and an identified method run.</w:t>
      </w:r>
    </w:p>
    <w:p>
      <w:pPr>
        <w:spacing w:after="80" w:line="300" w:lineRule="auto"/>
        <w:numPr>
          <w:ilvl w:val="0"/>
          <w:numId w:val="10"/>
        </w:numPr>
      </w:pPr>
      <w:r>
        <w:rPr>
          <w:rFonts w:ascii="Calibri" w:hAnsi="Calibri"/>
          <w:b/>
          <w:sz w:val="22"/>
        </w:rPr>
        <w:t>Threat informed.</w:t>
      </w:r>
      <w:r>
        <w:rPr>
          <w:rFonts w:ascii="Calibri" w:hAnsi="Calibri"/>
          <w:sz w:val="22"/>
        </w:rPr>
        <w:t xml:space="preserve"> Spacecraft-relevant attack behavior is mapped to SPARTA; other threat and control frameworks are integrated where useful.</w:t>
      </w:r>
    </w:p>
    <w:p>
      <w:pPr>
        <w:spacing w:after="80" w:line="300" w:lineRule="auto"/>
        <w:numPr>
          <w:ilvl w:val="0"/>
          <w:numId w:val="10"/>
        </w:numPr>
      </w:pPr>
      <w:r>
        <w:rPr>
          <w:rFonts w:ascii="Calibri" w:hAnsi="Calibri"/>
          <w:b/>
          <w:sz w:val="22"/>
        </w:rPr>
        <w:t>Uncertainty is visible.</w:t>
      </w:r>
      <w:r>
        <w:rPr>
          <w:rFonts w:ascii="Calibri" w:hAnsi="Calibri"/>
          <w:sz w:val="22"/>
        </w:rPr>
        <w:t xml:space="preserve"> Limitations, assumptions, and confidence are reported, not hidden inside a score.</w:t>
      </w:r>
    </w:p>
    <w:p>
      <w:pPr>
        <w:spacing w:after="80" w:line="300" w:lineRule="auto"/>
        <w:numPr>
          <w:ilvl w:val="0"/>
          <w:numId w:val="10"/>
        </w:numPr>
      </w:pPr>
      <w:r>
        <w:rPr>
          <w:rFonts w:ascii="Calibri" w:hAnsi="Calibri"/>
          <w:b/>
          <w:sz w:val="22"/>
        </w:rPr>
        <w:t>Safety and authorization are gates.</w:t>
      </w:r>
      <w:r>
        <w:rPr>
          <w:rFonts w:ascii="Calibri" w:hAnsi="Calibri"/>
          <w:sz w:val="22"/>
        </w:rPr>
        <w:t xml:space="preserve"> No live, RF, on-orbit, destructive, or safety-relevant activity occurs without explicit authorization.</w:t>
      </w:r>
    </w:p>
    <w:p>
      <w:pPr>
        <w:spacing w:after="80" w:line="300" w:lineRule="auto"/>
        <w:numPr>
          <w:ilvl w:val="0"/>
          <w:numId w:val="10"/>
        </w:numPr>
      </w:pPr>
      <w:r>
        <w:rPr>
          <w:rFonts w:ascii="Calibri" w:hAnsi="Calibri"/>
          <w:b/>
          <w:sz w:val="22"/>
        </w:rPr>
        <w:t>No false assurance.</w:t>
      </w:r>
      <w:r>
        <w:rPr>
          <w:rFonts w:ascii="Calibri" w:hAnsi="Calibri"/>
          <w:sz w:val="22"/>
        </w:rPr>
        <w:t xml:space="preserve"> FARI does not label a system "secure" based on an average score or incomplete assessment.</w:t>
      </w:r>
    </w:p>
    <w:p>
      <w:pPr>
        <w:spacing w:after="80" w:line="300" w:lineRule="auto"/>
        <w:numPr>
          <w:ilvl w:val="0"/>
          <w:numId w:val="10"/>
        </w:numPr>
      </w:pPr>
      <w:r>
        <w:rPr>
          <w:rFonts w:ascii="Calibri" w:hAnsi="Calibri"/>
          <w:b/>
          <w:sz w:val="22"/>
        </w:rPr>
        <w:t>Machine-readable by design.</w:t>
      </w:r>
      <w:r>
        <w:rPr>
          <w:rFonts w:ascii="Calibri" w:hAnsi="Calibri"/>
          <w:sz w:val="22"/>
        </w:rPr>
        <w:t xml:space="preserve"> Core records have stable identifiers and relationships suitable for future tooling.</w:t>
      </w:r>
    </w:p>
    <w:p>
      <w:pPr>
        <w:spacing w:after="80" w:line="300" w:lineRule="auto"/>
        <w:numPr>
          <w:ilvl w:val="0"/>
          <w:numId w:val="10"/>
        </w:numPr>
      </w:pPr>
      <w:r>
        <w:rPr>
          <w:rFonts w:ascii="Calibri" w:hAnsi="Calibri"/>
          <w:b/>
          <w:sz w:val="22"/>
        </w:rPr>
        <w:t>Roles are explicit.</w:t>
      </w:r>
      <w:r>
        <w:rPr>
          <w:rFonts w:ascii="Calibri" w:hAnsi="Calibri"/>
          <w:sz w:val="22"/>
        </w:rPr>
        <w:t xml:space="preserve"> Evidence production, report authorship, mission ownership, and risk acceptance are distinct responsibilities.</w:t>
      </w:r>
    </w:p>
    <w:p>
      <w:pPr>
        <w:spacing w:after="80" w:line="300" w:lineRule="auto"/>
        <w:numPr>
          <w:ilvl w:val="0"/>
          <w:numId w:val="10"/>
        </w:numPr>
      </w:pPr>
      <w:r>
        <w:rPr>
          <w:rFonts w:ascii="Calibri" w:hAnsi="Calibri"/>
          <w:b/>
          <w:sz w:val="22"/>
        </w:rPr>
        <w:t>Missing information is documented, not invented.</w:t>
      </w:r>
      <w:r>
        <w:rPr>
          <w:rFonts w:ascii="Calibri" w:hAnsi="Calibri"/>
          <w:sz w:val="22"/>
        </w:rPr>
        <w:t xml:space="preserve"> Necessary context may be added only as a labeled assumption, inference, or evidence request.</w:t>
      </w:r>
    </w:p>
    <w:p>
      <w:pPr>
        <w:spacing w:after="80" w:line="300" w:lineRule="auto"/>
        <w:numPr>
          <w:ilvl w:val="0"/>
          <w:numId w:val="10"/>
        </w:numPr>
      </w:pPr>
      <w:r>
        <w:rPr>
          <w:rFonts w:ascii="Calibri" w:hAnsi="Calibri"/>
          <w:b/>
          <w:sz w:val="22"/>
        </w:rPr>
        <w:t>No external-auditor burden.</w:t>
      </w:r>
      <w:r>
        <w:rPr>
          <w:rFonts w:ascii="Calibri" w:hAnsi="Calibri"/>
          <w:sz w:val="22"/>
        </w:rPr>
        <w:t xml:space="preserve"> An evidence producer does not need to know FARI, use a FARI template, or create FARI records.</w:t>
      </w:r>
    </w:p>
    <w:p>
      <w:pPr>
        <w:spacing w:after="80" w:line="300" w:lineRule="auto"/>
        <w:numPr>
          <w:ilvl w:val="0"/>
          <w:numId w:val="10"/>
        </w:numPr>
      </w:pPr>
      <w:r>
        <w:rPr>
          <w:rFonts w:ascii="Calibri" w:hAnsi="Calibri"/>
          <w:b/>
          <w:sz w:val="22"/>
        </w:rPr>
        <w:t>Every investigation concludes.</w:t>
      </w:r>
      <w:r>
        <w:rPr>
          <w:rFonts w:ascii="Calibri" w:hAnsi="Calibri"/>
          <w:sz w:val="22"/>
        </w:rPr>
        <w:t xml:space="preserve"> Each investigation and consolidated assessment ends with a qualitative FARI Conclusion and required next action.</w:t>
      </w:r>
    </w:p>
    <w:p>
      <w:pPr>
        <w:pStyle w:val="Heading2"/>
      </w:pPr>
      <w:r>
        <w:rPr>
          <w:rFonts w:ascii="Calibri" w:hAnsi="Calibri"/>
          <w:color w:val="2E74B5"/>
          <w:sz w:val="26"/>
        </w:rPr>
        <w:t>4. FARI Architecture</w:t>
      </w:r>
    </w:p>
    <w:p>
      <w:r>
        <w:rPr>
          <w:rFonts w:ascii="Calibri" w:hAnsi="Calibri"/>
          <w:sz w:val="22"/>
        </w:rPr>
        <w:t>FARI consists of four layers.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Layer</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Purpose</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Typical Inputs</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Required Output</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Mission context</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Define what must be protected and under which constraints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Mission objectives, architecture, operating modes, safety constraints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Mission context and scoped asset graph</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Evidence acquisition</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Receive arbitrary source material and establish what it supports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Auditor notes, logs, tools, labs, emulators, source, hardware, interviews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Report-author source-material and intake-review records</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Translation and decision</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Normalize results, relate them to threat frameworks, and conclude claims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Findings, SPARTA, ATT&amp;CK, NIST, mission consequence analysis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Finding, mapping, conclusion, and optional risk-profile records</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Investigation and reporting</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State what is known, unknown, contradictory, concluded, and required next</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Coverage, confidence, evidence gaps, findings, remediation status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Investigation reports, consolidated assessment report, and assurance statement</w:t>
            </w:r>
          </w:p>
        </w:tc>
      </w:tr>
    </w:tbl>
    <w:p>
      <w:pPr>
        <w:spacing w:after="20"/>
      </w:pPr>
    </w:p>
    <w:p>
      <w:pPr>
        <w:pStyle w:val="Heading3"/>
      </w:pPr>
      <w:r>
        <w:rPr>
          <w:rFonts w:ascii="Calibri" w:hAnsi="Calibri"/>
          <w:color w:val="1F4D78"/>
          <w:sz w:val="24"/>
        </w:rPr>
        <w:t>4.1 Relationship to other frameworks</w:t>
      </w:r>
    </w:p>
    <w:p>
      <w:r>
        <w:rPr>
          <w:rFonts w:ascii="Calibri" w:hAnsi="Calibri"/>
          <w:sz w:val="22"/>
        </w:rPr>
        <w:t>FARI treats external frameworks as profiles, not dependencies that must cover the entire mission.</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Framework or method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Role inside FARI</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SPARTA</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threat-language profile for spacecraft-relevant behavior, attack paths, and countermeasures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MITRE ATT&amp;CK</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Recommended for enterprise, cloud, identity, and ground-system adversary behavior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NIST CSF / NIST SP 800-53 / NISTIR 8401</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Control, governance, and ground-segment risk cross-references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ISO, ECSS, CCSDS, organizational standards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Optional compliance and engineering cross-references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BSAM, PTES, OWASP, custom lab procedures, supplier methods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Auditor-selected execution methods</w:t>
            </w:r>
          </w:p>
        </w:tc>
      </w:tr>
    </w:tbl>
    <w:p>
      <w:pPr>
        <w:spacing w:after="20"/>
      </w:pPr>
    </w:p>
    <w:p>
      <w:r>
        <w:rPr>
          <w:rFonts w:ascii="Calibri" w:hAnsi="Calibri"/>
          <w:sz w:val="22"/>
        </w:rPr>
        <w:t>SPARTA is maintained by The Aerospace Corporation. It is inspired by the tactic/technique model familiar from ATT&amp;CK, but it is not a MITRE framework.</w:t>
      </w:r>
    </w:p>
    <w:p>
      <w:pPr>
        <w:pStyle w:val="Heading2"/>
      </w:pPr>
      <w:r>
        <w:rPr>
          <w:rFonts w:ascii="Calibri" w:hAnsi="Calibri"/>
          <w:color w:val="2E74B5"/>
          <w:sz w:val="26"/>
        </w:rPr>
        <w:t>5. The FARI Lifecycle</w:t>
      </w:r>
    </w:p>
    <w:p>
      <w:r>
        <w:rPr>
          <w:rFonts w:ascii="Calibri" w:hAnsi="Calibri"/>
          <w:sz w:val="22"/>
        </w:rPr>
        <w:t xml:space="preserve">FARI uses four phases: </w:t>
      </w:r>
      <w:r>
        <w:rPr>
          <w:rFonts w:ascii="Calibri" w:hAnsi="Calibri"/>
          <w:b/>
          <w:sz w:val="22"/>
        </w:rPr>
        <w:t>Frame, Acquire, Relate, Inform</w:t>
      </w:r>
      <w:r>
        <w:rPr>
          <w:rFonts w:ascii="Calibri" w:hAnsi="Calibri"/>
          <w:sz w:val="22"/>
        </w:rPr>
        <w: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3"/>
      </w:pPr>
      <w:r>
        <w:rPr>
          <w:rFonts w:ascii="Calibri" w:hAnsi="Calibri"/>
          <w:color w:val="1F4D78"/>
          <w:sz w:val="24"/>
        </w:rPr>
        <w:t>5.1 Phase F: Frame</w:t>
      </w:r>
    </w:p>
    <w:p>
      <w:r>
        <w:rPr>
          <w:rFonts w:ascii="Calibri" w:hAnsi="Calibri"/>
          <w:sz w:val="22"/>
        </w:rPr>
        <w:t>The Frame phase establishes the meaning and boundaries of the assessment.</w:t>
      </w:r>
    </w:p>
    <w:p>
      <w:r>
        <w:rPr>
          <w:rFonts w:ascii="Calibri" w:hAnsi="Calibri"/>
          <w:sz w:val="22"/>
        </w:rPr>
        <w:t>Required activities:</w:t>
      </w:r>
    </w:p>
    <w:p>
      <w:pPr>
        <w:spacing w:after="80" w:line="300" w:lineRule="auto"/>
        <w:numPr>
          <w:ilvl w:val="0"/>
          <w:numId w:val="11"/>
        </w:numPr>
      </w:pPr>
      <w:r>
        <w:rPr>
          <w:rFonts w:ascii="Calibri" w:hAnsi="Calibri"/>
          <w:sz w:val="22"/>
        </w:rPr>
        <w:t>Identify mission objectives and unacceptable outcomes.</w:t>
      </w:r>
    </w:p>
    <w:p>
      <w:pPr>
        <w:spacing w:after="80" w:line="300" w:lineRule="auto"/>
        <w:numPr>
          <w:ilvl w:val="0"/>
          <w:numId w:val="11"/>
        </w:numPr>
      </w:pPr>
      <w:r>
        <w:rPr>
          <w:rFonts w:ascii="Calibri" w:hAnsi="Calibri"/>
          <w:sz w:val="22"/>
        </w:rPr>
        <w:t>Record the system lifecycle state and relevant operating modes.</w:t>
      </w:r>
    </w:p>
    <w:p>
      <w:pPr>
        <w:spacing w:after="80" w:line="300" w:lineRule="auto"/>
        <w:numPr>
          <w:ilvl w:val="0"/>
          <w:numId w:val="11"/>
        </w:numPr>
      </w:pPr>
      <w:r>
        <w:rPr>
          <w:rFonts w:ascii="Calibri" w:hAnsi="Calibri"/>
          <w:sz w:val="22"/>
        </w:rPr>
        <w:t>Build a scoped asset graph across space, ground, user, and link elements.</w:t>
      </w:r>
    </w:p>
    <w:p>
      <w:pPr>
        <w:spacing w:after="80" w:line="300" w:lineRule="auto"/>
        <w:numPr>
          <w:ilvl w:val="0"/>
          <w:numId w:val="11"/>
        </w:numPr>
      </w:pPr>
      <w:r>
        <w:rPr>
          <w:rFonts w:ascii="Calibri" w:hAnsi="Calibri"/>
          <w:sz w:val="22"/>
        </w:rPr>
        <w:t>Classify the access model per asset: white box, grey box, or black box.</w:t>
      </w:r>
    </w:p>
    <w:p>
      <w:pPr>
        <w:spacing w:after="80" w:line="300" w:lineRule="auto"/>
        <w:numPr>
          <w:ilvl w:val="0"/>
          <w:numId w:val="11"/>
        </w:numPr>
      </w:pPr>
      <w:r>
        <w:rPr>
          <w:rFonts w:ascii="Calibri" w:hAnsi="Calibri"/>
          <w:sz w:val="22"/>
        </w:rPr>
        <w:t>Establish rules of engagement, safety controls, legal authorization, frequencies, time windows, and prohibited actions.</w:t>
      </w:r>
    </w:p>
    <w:p>
      <w:pPr>
        <w:spacing w:after="80" w:line="300" w:lineRule="auto"/>
        <w:numPr>
          <w:ilvl w:val="0"/>
          <w:numId w:val="11"/>
        </w:numPr>
      </w:pPr>
      <w:r>
        <w:rPr>
          <w:rFonts w:ascii="Calibri" w:hAnsi="Calibri"/>
          <w:sz w:val="22"/>
        </w:rPr>
        <w:t>Define assessment claims to be tested.</w:t>
      </w:r>
    </w:p>
    <w:p>
      <w:pPr>
        <w:spacing w:after="80" w:line="300" w:lineRule="auto"/>
        <w:numPr>
          <w:ilvl w:val="0"/>
          <w:numId w:val="11"/>
        </w:numPr>
      </w:pPr>
      <w:r>
        <w:rPr>
          <w:rFonts w:ascii="Calibri" w:hAnsi="Calibri"/>
          <w:sz w:val="22"/>
        </w:rPr>
        <w:t>Record known limitations and required assumptions.</w:t>
      </w:r>
    </w:p>
    <w:p>
      <w:r>
        <w:rPr>
          <w:rFonts w:ascii="Calibri" w:hAnsi="Calibri"/>
          <w:sz w:val="22"/>
        </w:rPr>
        <w:t xml:space="preserve">An </w:t>
      </w:r>
      <w:r>
        <w:rPr>
          <w:rFonts w:ascii="Calibri" w:hAnsi="Calibri"/>
          <w:b/>
          <w:sz w:val="22"/>
        </w:rPr>
        <w:t>assessment claim</w:t>
      </w:r>
      <w:r>
        <w:rPr>
          <w:rFonts w:ascii="Calibri" w:hAnsi="Calibri"/>
          <w:sz w:val="22"/>
        </w:rPr>
        <w:t xml:space="preserve"> is a testable statement, for 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Unauthorized inputs cannot cause the flight software command parser to violate memory safety or interrupt the command-and-data-handling service.</w:t>
            </w:r>
          </w:p>
        </w:tc>
      </w:tr>
    </w:tbl>
    <w:p>
      <w:pPr>
        <w:spacing w:after="20"/>
      </w:pPr>
    </w:p>
    <w:p>
      <w:pPr>
        <w:pStyle w:val="Heading3"/>
      </w:pPr>
      <w:r>
        <w:rPr>
          <w:rFonts w:ascii="Calibri" w:hAnsi="Calibri"/>
          <w:color w:val="1F4D78"/>
          <w:sz w:val="24"/>
        </w:rPr>
        <w:t>Frame gate</w:t>
      </w:r>
    </w:p>
    <w:p>
      <w:r>
        <w:rPr>
          <w:rFonts w:ascii="Calibri" w:hAnsi="Calibri"/>
          <w:sz w:val="22"/>
        </w:rPr>
        <w:t>Assessment execution MUST NOT begin until authorization and safety constraints are documented. Any on-orbit or radiated RF activity requires an explicit authorization record. When a report author receives evidence after execution, missing authorization information MUST be recorded as a conformance gap.</w:t>
      </w:r>
    </w:p>
    <w:p>
      <w:pPr>
        <w:pStyle w:val="Heading3"/>
      </w:pPr>
      <w:r>
        <w:rPr>
          <w:rFonts w:ascii="Calibri" w:hAnsi="Calibri"/>
          <w:color w:val="1F4D78"/>
          <w:sz w:val="24"/>
        </w:rPr>
        <w:t>5.2 Phase A: Acquire</w:t>
      </w:r>
    </w:p>
    <w:p>
      <w:r>
        <w:rPr>
          <w:rFonts w:ascii="Calibri" w:hAnsi="Calibri"/>
          <w:sz w:val="22"/>
        </w:rPr>
        <w:t>The Acquire phase receives and interprets source material produced by auditor-selected technical methods. Source material may be structured, unstructured, complete, incomplete, contradictory, or expressed using a method-specific format.</w:t>
      </w:r>
    </w:p>
    <w:p>
      <w:r>
        <w:rPr>
          <w:rFonts w:ascii="Calibri" w:hAnsi="Calibri"/>
          <w:sz w:val="22"/>
        </w:rPr>
        <w:t>An external evidence producer:</w:t>
      </w:r>
    </w:p>
    <w:p>
      <w:pPr>
        <w:pStyle w:val="ListBullet"/>
      </w:pPr>
      <w:r>
        <w:rPr>
          <w:rFonts w:ascii="Calibri" w:hAnsi="Calibri"/>
          <w:sz w:val="22"/>
        </w:rPr>
        <w:t xml:space="preserve">Does </w:t>
      </w:r>
      <w:r>
        <w:rPr>
          <w:rFonts w:ascii="Calibri" w:hAnsi="Calibri"/>
          <w:b/>
          <w:sz w:val="22"/>
        </w:rPr>
        <w:t>not</w:t>
      </w:r>
      <w:r>
        <w:rPr>
          <w:rFonts w:ascii="Calibri" w:hAnsi="Calibri"/>
          <w:sz w:val="22"/>
        </w:rPr>
        <w:t xml:space="preserve"> need to know or apply FARI.</w:t>
      </w:r>
    </w:p>
    <w:p>
      <w:pPr>
        <w:pStyle w:val="ListBullet"/>
      </w:pPr>
      <w:r>
        <w:rPr>
          <w:rFonts w:ascii="Calibri" w:hAnsi="Calibri"/>
          <w:sz w:val="22"/>
        </w:rPr>
        <w:t xml:space="preserve">Does </w:t>
      </w:r>
      <w:r>
        <w:rPr>
          <w:rFonts w:ascii="Calibri" w:hAnsi="Calibri"/>
          <w:b/>
          <w:sz w:val="22"/>
        </w:rPr>
        <w:t>not</w:t>
      </w:r>
      <w:r>
        <w:rPr>
          <w:rFonts w:ascii="Calibri" w:hAnsi="Calibri"/>
          <w:sz w:val="22"/>
        </w:rPr>
        <w:t xml:space="preserve"> need to complete a FARI form or evidence package.</w:t>
      </w:r>
    </w:p>
    <w:p>
      <w:pPr>
        <w:pStyle w:val="ListBullet"/>
      </w:pPr>
      <w:r>
        <w:rPr>
          <w:rFonts w:ascii="Calibri" w:hAnsi="Calibri"/>
          <w:sz w:val="22"/>
        </w:rPr>
        <w:t xml:space="preserve">Does </w:t>
      </w:r>
      <w:r>
        <w:rPr>
          <w:rFonts w:ascii="Calibri" w:hAnsi="Calibri"/>
          <w:b/>
          <w:sz w:val="22"/>
        </w:rPr>
        <w:t>not</w:t>
      </w:r>
      <w:r>
        <w:rPr>
          <w:rFonts w:ascii="Calibri" w:hAnsi="Calibri"/>
          <w:sz w:val="22"/>
        </w:rPr>
        <w:t xml:space="preserve"> become responsible for mission context, SPARTA mapping, FARI conclusions, consolidated reporting, or missing-information analysis.</w:t>
      </w:r>
    </w:p>
    <w:p>
      <w:pPr>
        <w:pStyle w:val="ListBullet"/>
      </w:pPr>
      <w:r>
        <w:rPr>
          <w:rFonts w:ascii="Calibri" w:hAnsi="Calibri"/>
          <w:sz w:val="22"/>
        </w:rPr>
        <w:t>Remains responsible only for the work and evidence required by the producer's own engagement, authorization, and professional obligations.</w:t>
      </w:r>
    </w:p>
    <w:p>
      <w:r>
        <w:rPr>
          <w:rFonts w:ascii="Calibri" w:hAnsi="Calibri"/>
          <w:sz w:val="22"/>
        </w:rPr>
        <w:t xml:space="preserve">FARI MAY provide an </w:t>
      </w:r>
      <w:r>
        <w:rPr>
          <w:rFonts w:ascii="Calibri" w:hAnsi="Calibri"/>
          <w:b/>
          <w:sz w:val="22"/>
        </w:rPr>
        <w:t>Optional Technical Finding Submission Form</w:t>
      </w:r>
      <w:r>
        <w:rPr>
          <w:rFonts w:ascii="Calibri" w:hAnsi="Calibri"/>
          <w:sz w:val="22"/>
        </w:rPr>
        <w:t xml:space="preserve"> as a convenience to evidence producers who do not already have a preferred report format. The form uses ordinary technical-assessment language and does not require FARI concepts, SPARTA mappings, mission-risk analysis, qualitative conclusions, or consolidated reporting. Use of the form MUST remain optional and MUST NOT be a condition of FARI conformance.</w:t>
      </w:r>
    </w:p>
    <w:p>
      <w:r>
        <w:rPr>
          <w:rFonts w:ascii="Calibri" w:hAnsi="Calibri"/>
          <w:sz w:val="22"/>
        </w:rPr>
        <w:t>The Report Author MUST convert the supplied source material into the internal FARI records needed for analysis. When useful information is absent, the Report Author records the gap and may request clarification or a new investigation; the absence does not retroactively impose a FARI documentation duty on the evidence producer.</w:t>
      </w:r>
    </w:p>
    <w:p>
      <w:r>
        <w:rPr>
          <w:rFonts w:ascii="Calibri" w:hAnsi="Calibri"/>
          <w:sz w:val="22"/>
        </w:rPr>
        <w:t>Examples of valid method runs include:</w:t>
      </w:r>
    </w:p>
    <w:p>
      <w:pPr>
        <w:pStyle w:val="ListBullet"/>
      </w:pPr>
      <w:r>
        <w:rPr>
          <w:rFonts w:ascii="Calibri" w:hAnsi="Calibri"/>
          <w:sz w:val="22"/>
        </w:rPr>
        <w:t>Source-code review of a packet parser.</w:t>
      </w:r>
    </w:p>
    <w:p>
      <w:pPr>
        <w:pStyle w:val="ListBullet"/>
      </w:pPr>
      <w:r>
        <w:rPr>
          <w:rFonts w:ascii="Calibri" w:hAnsi="Calibri"/>
          <w:sz w:val="22"/>
        </w:rPr>
        <w:t>Dependency analysis and software bill of materials review.</w:t>
      </w:r>
    </w:p>
    <w:p>
      <w:pPr>
        <w:pStyle w:val="ListBullet"/>
      </w:pPr>
      <w:r>
        <w:rPr>
          <w:rFonts w:ascii="Calibri" w:hAnsi="Calibri"/>
          <w:sz w:val="22"/>
        </w:rPr>
        <w:t>QEMU-based firmware emulation with virtual peripheral bridges.</w:t>
      </w:r>
    </w:p>
    <w:p>
      <w:pPr>
        <w:pStyle w:val="ListBullet"/>
      </w:pPr>
      <w:r>
        <w:rPr>
          <w:rFonts w:ascii="Calibri" w:hAnsi="Calibri"/>
          <w:sz w:val="22"/>
        </w:rPr>
        <w:t>FlatSat hardware-in-the-loop protocol fuzzing.</w:t>
      </w:r>
    </w:p>
    <w:p>
      <w:pPr>
        <w:pStyle w:val="ListBullet"/>
      </w:pPr>
      <w:r>
        <w:rPr>
          <w:rFonts w:ascii="Calibri" w:hAnsi="Calibri"/>
          <w:sz w:val="22"/>
        </w:rPr>
        <w:t>Authorized RF replay-resistance testing.</w:t>
      </w:r>
    </w:p>
    <w:p>
      <w:pPr>
        <w:pStyle w:val="ListBullet"/>
      </w:pPr>
      <w:r>
        <w:rPr>
          <w:rFonts w:ascii="Calibri" w:hAnsi="Calibri"/>
          <w:sz w:val="22"/>
        </w:rPr>
        <w:t>Hardware debug-interface and secure-boot validation.</w:t>
      </w:r>
    </w:p>
    <w:p>
      <w:pPr>
        <w:pStyle w:val="ListBullet"/>
      </w:pPr>
      <w:r>
        <w:rPr>
          <w:rFonts w:ascii="Calibri" w:hAnsi="Calibri"/>
          <w:sz w:val="22"/>
        </w:rPr>
        <w:t>Ground-segment cloud, identity, API, and network assessment.</w:t>
      </w:r>
    </w:p>
    <w:p>
      <w:pPr>
        <w:pStyle w:val="ListBullet"/>
      </w:pPr>
      <w:r>
        <w:rPr>
          <w:rFonts w:ascii="Calibri" w:hAnsi="Calibri"/>
          <w:sz w:val="22"/>
        </w:rPr>
        <w:t>User-terminal firmware extraction and update validation.</w:t>
      </w:r>
    </w:p>
    <w:p>
      <w:pPr>
        <w:pStyle w:val="Heading3"/>
      </w:pPr>
      <w:r>
        <w:rPr>
          <w:rFonts w:ascii="Calibri" w:hAnsi="Calibri"/>
          <w:color w:val="1F4D78"/>
          <w:sz w:val="24"/>
        </w:rPr>
        <w:t>Evidence requirements</w:t>
      </w:r>
    </w:p>
    <w:p>
      <w:r>
        <w:rPr>
          <w:rFonts w:ascii="Calibri" w:hAnsi="Calibri"/>
          <w:sz w:val="22"/>
        </w:rPr>
        <w:t>Evidence MUST be identifiable, reproducible when practical, integrity-protected, and handled according to engagement sensitivity. Evidence may include logs, build manifests, packet captures, screenshots, source references, crash dumps, test scripts, photographs, and signed assessor notes.</w:t>
      </w:r>
    </w:p>
    <w:p>
      <w:r>
        <w:rPr>
          <w:rFonts w:ascii="Calibri" w:hAnsi="Calibri"/>
          <w:sz w:val="22"/>
        </w:rPr>
        <w:t>The Report Author MUST perform an evidence-intake review before confirming a finding. This is an internal FARI activity. The review records:</w:t>
      </w:r>
    </w:p>
    <w:p>
      <w:pPr>
        <w:pStyle w:val="ListBullet"/>
      </w:pPr>
      <w:r>
        <w:rPr>
          <w:rFonts w:ascii="Calibri" w:hAnsi="Calibri"/>
          <w:sz w:val="22"/>
        </w:rPr>
        <w:t>Which claims and observations the evidence directly supports.</w:t>
      </w:r>
    </w:p>
    <w:p>
      <w:pPr>
        <w:pStyle w:val="ListBullet"/>
      </w:pPr>
      <w:r>
        <w:rPr>
          <w:rFonts w:ascii="Calibri" w:hAnsi="Calibri"/>
          <w:sz w:val="22"/>
        </w:rPr>
        <w:t>Provenance, integrity information, and evidence producer.</w:t>
      </w:r>
    </w:p>
    <w:p>
      <w:pPr>
        <w:pStyle w:val="ListBullet"/>
      </w:pPr>
      <w:r>
        <w:rPr>
          <w:rFonts w:ascii="Calibri" w:hAnsi="Calibri"/>
          <w:sz w:val="22"/>
        </w:rPr>
        <w:t>Missing versions, dates, configurations, artifacts, or reproduction details.</w:t>
      </w:r>
    </w:p>
    <w:p>
      <w:pPr>
        <w:pStyle w:val="ListBullet"/>
      </w:pPr>
      <w:r>
        <w:rPr>
          <w:rFonts w:ascii="Calibri" w:hAnsi="Calibri"/>
          <w:sz w:val="22"/>
        </w:rPr>
        <w:t>Contradictions inside the source material or with other evidence.</w:t>
      </w:r>
    </w:p>
    <w:p>
      <w:pPr>
        <w:pStyle w:val="ListBullet"/>
      </w:pPr>
      <w:r>
        <w:rPr>
          <w:rFonts w:ascii="Calibri" w:hAnsi="Calibri"/>
          <w:sz w:val="22"/>
        </w:rPr>
        <w:t>Whether the source material is sufficient for a technical defect, a reachable attack path, and a mission consequence. These are separate decisions.</w:t>
      </w:r>
    </w:p>
    <w:p>
      <w:pPr>
        <w:pStyle w:val="Heading3"/>
      </w:pPr>
      <w:r>
        <w:rPr>
          <w:rFonts w:ascii="Calibri" w:hAnsi="Calibri"/>
          <w:color w:val="1F4D78"/>
          <w:sz w:val="24"/>
        </w:rPr>
        <w:t>Evidence disposition</w:t>
      </w:r>
    </w:p>
    <w:p>
      <w:r>
        <w:rPr>
          <w:rFonts w:ascii="Calibri" w:hAnsi="Calibri"/>
          <w:sz w:val="22"/>
        </w:rPr>
        <w:t>Every material statement added to a report MUST use one of these dispositions:</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Disposition</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Meaning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Evidence-backed fact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Directly supported by supplied evidence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Evidence-producer assertion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Stated by the auditor but not independently demonstrated in the supplied source material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Report-author inference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Reasoned conclusion derived from identified facts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Assumption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Necessary context introduced to complete analysis and explicitly requiring confirmation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Missing information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Information required to strengthen or complete the conclusion</w:t>
            </w:r>
          </w:p>
        </w:tc>
      </w:tr>
    </w:tbl>
    <w:p>
      <w:pPr>
        <w:spacing w:after="20"/>
      </w:pPr>
    </w:p>
    <w:p>
      <w:r>
        <w:rPr>
          <w:rFonts w:ascii="Calibri" w:hAnsi="Calibri"/>
          <w:sz w:val="22"/>
        </w:rPr>
        <w:t>An assumption or inference MUST NOT be presented as an observed result.</w:t>
      </w:r>
    </w:p>
    <w:p>
      <w:pPr>
        <w:pStyle w:val="Heading3"/>
      </w:pPr>
      <w:r>
        <w:rPr>
          <w:rFonts w:ascii="Calibri" w:hAnsi="Calibri"/>
          <w:color w:val="1F4D78"/>
          <w:sz w:val="24"/>
        </w:rPr>
        <w:t>Acquire gate</w:t>
      </w:r>
    </w:p>
    <w:p>
      <w:r>
        <w:rPr>
          <w:rFonts w:ascii="Calibri" w:hAnsi="Calibri"/>
          <w:sz w:val="22"/>
        </w:rPr>
        <w:t xml:space="preserve">A finding may be </w:t>
      </w:r>
      <w:r>
        <w:rPr>
          <w:rFonts w:ascii="Courier New" w:hAnsi="Courier New"/>
          <w:color w:val="1F4D78"/>
          <w:sz w:val="20"/>
        </w:rPr>
        <w:t>confirmed</w:t>
      </w:r>
      <w:r>
        <w:rPr>
          <w:rFonts w:ascii="Calibri" w:hAnsi="Calibri"/>
          <w:sz w:val="22"/>
        </w:rPr>
        <w:t xml:space="preserve"> only when the available source material is sufficient for the stated technical condition and observed effect. Reachability and mission consequence may remain candidate or inferred even when the technical condition is confirmed.</w:t>
      </w:r>
    </w:p>
    <w:p>
      <w:pPr>
        <w:pStyle w:val="Heading3"/>
      </w:pPr>
      <w:r>
        <w:rPr>
          <w:rFonts w:ascii="Calibri" w:hAnsi="Calibri"/>
          <w:color w:val="1F4D78"/>
          <w:sz w:val="24"/>
        </w:rPr>
        <w:t>5.3 Phase R: Relate</w:t>
      </w:r>
    </w:p>
    <w:p>
      <w:r>
        <w:rPr>
          <w:rFonts w:ascii="Calibri" w:hAnsi="Calibri"/>
          <w:sz w:val="22"/>
        </w:rPr>
        <w:t>The Relate phase translates technical observations into normalized findings and mission-risk scenarios.</w:t>
      </w:r>
    </w:p>
    <w:p>
      <w:r>
        <w:rPr>
          <w:rFonts w:ascii="Calibri" w:hAnsi="Calibri"/>
          <w:sz w:val="22"/>
        </w:rPr>
        <w:t>Each confirmed finding MUST:</w:t>
      </w:r>
    </w:p>
    <w:p>
      <w:pPr>
        <w:spacing w:after="80" w:line="300" w:lineRule="auto"/>
        <w:numPr>
          <w:ilvl w:val="0"/>
          <w:numId w:val="12"/>
        </w:numPr>
      </w:pPr>
      <w:r>
        <w:rPr>
          <w:rFonts w:ascii="Calibri" w:hAnsi="Calibri"/>
          <w:sz w:val="22"/>
        </w:rPr>
        <w:t>Identify the affected assets and mission objectives.</w:t>
      </w:r>
    </w:p>
    <w:p>
      <w:pPr>
        <w:spacing w:after="80" w:line="300" w:lineRule="auto"/>
        <w:numPr>
          <w:ilvl w:val="0"/>
          <w:numId w:val="12"/>
        </w:numPr>
      </w:pPr>
      <w:r>
        <w:rPr>
          <w:rFonts w:ascii="Calibri" w:hAnsi="Calibri"/>
          <w:sz w:val="22"/>
        </w:rPr>
        <w:t>Reference the method run and supporting evidence.</w:t>
      </w:r>
    </w:p>
    <w:p>
      <w:pPr>
        <w:spacing w:after="80" w:line="300" w:lineRule="auto"/>
        <w:numPr>
          <w:ilvl w:val="0"/>
          <w:numId w:val="12"/>
        </w:numPr>
      </w:pPr>
      <w:r>
        <w:rPr>
          <w:rFonts w:ascii="Calibri" w:hAnsi="Calibri"/>
          <w:sz w:val="22"/>
        </w:rPr>
        <w:t>Describe preconditions, exploit path, and observed or credible effect.</w:t>
      </w:r>
    </w:p>
    <w:p>
      <w:pPr>
        <w:spacing w:after="80" w:line="300" w:lineRule="auto"/>
        <w:numPr>
          <w:ilvl w:val="0"/>
          <w:numId w:val="12"/>
        </w:numPr>
      </w:pPr>
      <w:r>
        <w:rPr>
          <w:rFonts w:ascii="Calibri" w:hAnsi="Calibri"/>
          <w:sz w:val="22"/>
        </w:rPr>
        <w:t>State the assessment boundary and limitations.</w:t>
      </w:r>
    </w:p>
    <w:p>
      <w:pPr>
        <w:spacing w:after="80" w:line="300" w:lineRule="auto"/>
        <w:numPr>
          <w:ilvl w:val="0"/>
          <w:numId w:val="12"/>
        </w:numPr>
      </w:pPr>
      <w:r>
        <w:rPr>
          <w:rFonts w:ascii="Calibri" w:hAnsi="Calibri"/>
          <w:sz w:val="22"/>
        </w:rPr>
        <w:t>Map spacecraft-relevant adversary behavior to SPARTA according to the SPARTA Integration Profile (FARI-SPARTA-INTEGRATION.md).</w:t>
      </w:r>
    </w:p>
    <w:p>
      <w:pPr>
        <w:spacing w:after="80" w:line="300" w:lineRule="auto"/>
        <w:numPr>
          <w:ilvl w:val="0"/>
          <w:numId w:val="12"/>
        </w:numPr>
      </w:pPr>
      <w:r>
        <w:rPr>
          <w:rFonts w:ascii="Calibri" w:hAnsi="Calibri"/>
          <w:sz w:val="22"/>
        </w:rPr>
        <w:t>Map ground or enterprise behavior to ATT&amp;CK when useful.</w:t>
      </w:r>
    </w:p>
    <w:p>
      <w:pPr>
        <w:spacing w:after="80" w:line="300" w:lineRule="auto"/>
        <w:numPr>
          <w:ilvl w:val="0"/>
          <w:numId w:val="12"/>
        </w:numPr>
      </w:pPr>
      <w:r>
        <w:rPr>
          <w:rFonts w:ascii="Calibri" w:hAnsi="Calibri"/>
          <w:sz w:val="22"/>
        </w:rPr>
        <w:t>Map relevant controls or requirements when useful.</w:t>
      </w:r>
    </w:p>
    <w:p>
      <w:pPr>
        <w:spacing w:after="80" w:line="300" w:lineRule="auto"/>
        <w:numPr>
          <w:ilvl w:val="0"/>
          <w:numId w:val="12"/>
        </w:numPr>
      </w:pPr>
      <w:r>
        <w:rPr>
          <w:rFonts w:ascii="Calibri" w:hAnsi="Calibri"/>
          <w:sz w:val="22"/>
        </w:rPr>
        <w:t>Assign the affected claim's FARI Conclusion and scope boundary.</w:t>
      </w:r>
    </w:p>
    <w:p>
      <w:pPr>
        <w:spacing w:after="80" w:line="300" w:lineRule="auto"/>
        <w:numPr>
          <w:ilvl w:val="0"/>
          <w:numId w:val="12"/>
        </w:numPr>
      </w:pPr>
      <w:r>
        <w:rPr>
          <w:rFonts w:ascii="Calibri" w:hAnsi="Calibri"/>
          <w:sz w:val="22"/>
        </w:rPr>
        <w:t>Include evidence confidence and recommended action.</w:t>
      </w:r>
    </w:p>
    <w:p>
      <w:pPr>
        <w:pStyle w:val="Heading3"/>
      </w:pPr>
      <w:r>
        <w:rPr>
          <w:rFonts w:ascii="Calibri" w:hAnsi="Calibri"/>
          <w:color w:val="1F4D78"/>
          <w:sz w:val="24"/>
        </w:rPr>
        <w:t>Finding states</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Meaning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Observation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Relevant fact with no demonstrated or credible adverse scenario yet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Potential issue requiring additional evidence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Confirmed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Evidence supports the described condition and scenario</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Accepted risk</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Mission owner formally accepts the residual risk</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Corrective action is implemented but not yet independently verified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Verified closed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Retest evidence confirms the defined acceptance criteria</w:t>
            </w:r>
          </w:p>
        </w:tc>
      </w:tr>
    </w:tbl>
    <w:p>
      <w:pPr>
        <w:spacing w:after="20"/>
      </w:pPr>
    </w:p>
    <w:p>
      <w:pPr>
        <w:pStyle w:val="Heading3"/>
      </w:pPr>
      <w:r>
        <w:rPr>
          <w:rFonts w:ascii="Calibri" w:hAnsi="Calibri"/>
          <w:color w:val="1F4D78"/>
          <w:sz w:val="24"/>
        </w:rPr>
        <w:t>5.4 Phase I: Inform</w:t>
      </w:r>
    </w:p>
    <w:p>
      <w:r>
        <w:rPr>
          <w:rFonts w:ascii="Calibri" w:hAnsi="Calibri"/>
          <w:sz w:val="22"/>
        </w:rPr>
        <w:t>The Inform phase produces decisions, not just a vulnerability list.</w:t>
      </w:r>
    </w:p>
    <w:p>
      <w:r>
        <w:rPr>
          <w:rFonts w:ascii="Calibri" w:hAnsi="Calibri"/>
          <w:sz w:val="22"/>
        </w:rPr>
        <w:t>Required outputs:</w:t>
      </w:r>
    </w:p>
    <w:p>
      <w:pPr>
        <w:pStyle w:val="ListBullet"/>
      </w:pPr>
      <w:r>
        <w:rPr>
          <w:rFonts w:ascii="Calibri" w:hAnsi="Calibri"/>
          <w:sz w:val="22"/>
        </w:rPr>
        <w:t>Executive summary tied to mission objectives.</w:t>
      </w:r>
    </w:p>
    <w:p>
      <w:pPr>
        <w:pStyle w:val="ListBullet"/>
      </w:pPr>
      <w:r>
        <w:rPr>
          <w:rFonts w:ascii="Calibri" w:hAnsi="Calibri"/>
          <w:sz w:val="22"/>
        </w:rPr>
        <w:t>A FARI Result Card for every investigation.</w:t>
      </w:r>
    </w:p>
    <w:p>
      <w:pPr>
        <w:pStyle w:val="ListBullet"/>
      </w:pPr>
      <w:r>
        <w:rPr>
          <w:rFonts w:ascii="Calibri" w:hAnsi="Calibri"/>
          <w:sz w:val="22"/>
        </w:rPr>
        <w:t>One consolidated assessment report when the assessment contains multiple investigations.</w:t>
      </w:r>
    </w:p>
    <w:p>
      <w:pPr>
        <w:pStyle w:val="ListBullet"/>
      </w:pPr>
      <w:r>
        <w:rPr>
          <w:rFonts w:ascii="Calibri" w:hAnsi="Calibri"/>
          <w:sz w:val="22"/>
        </w:rPr>
        <w:t>Top mission-risk scenarios and required decisions, when supported.</w:t>
      </w:r>
    </w:p>
    <w:p>
      <w:pPr>
        <w:pStyle w:val="ListBullet"/>
      </w:pPr>
      <w:r>
        <w:rPr>
          <w:rFonts w:ascii="Calibri" w:hAnsi="Calibri"/>
          <w:sz w:val="22"/>
        </w:rPr>
        <w:t>Optional organizational risk-profile register, when required by the client.</w:t>
      </w:r>
    </w:p>
    <w:p>
      <w:pPr>
        <w:pStyle w:val="ListBullet"/>
      </w:pPr>
      <w:r>
        <w:rPr>
          <w:rFonts w:ascii="Calibri" w:hAnsi="Calibri"/>
          <w:sz w:val="22"/>
        </w:rPr>
        <w:t>Remediation plan with owners and acceptance criteria.</w:t>
      </w:r>
    </w:p>
    <w:p>
      <w:pPr>
        <w:pStyle w:val="ListBullet"/>
      </w:pPr>
      <w:r>
        <w:rPr>
          <w:rFonts w:ascii="Calibri" w:hAnsi="Calibri"/>
          <w:sz w:val="22"/>
        </w:rPr>
        <w:t>Coverage and limitation statement.</w:t>
      </w:r>
    </w:p>
    <w:p>
      <w:pPr>
        <w:pStyle w:val="ListBullet"/>
      </w:pPr>
      <w:r>
        <w:rPr>
          <w:rFonts w:ascii="Calibri" w:hAnsi="Calibri"/>
          <w:sz w:val="22"/>
        </w:rPr>
        <w:t>Evidence gaps, contradictions, assumptions, and requested follow-up evidence.</w:t>
      </w:r>
    </w:p>
    <w:p>
      <w:pPr>
        <w:pStyle w:val="ListBullet"/>
      </w:pPr>
      <w:r>
        <w:rPr>
          <w:rFonts w:ascii="Calibri" w:hAnsi="Calibri"/>
          <w:sz w:val="22"/>
        </w:rPr>
        <w:t>Assurance statement with evidence confidence.</w:t>
      </w:r>
    </w:p>
    <w:p>
      <w:pPr>
        <w:pStyle w:val="ListBullet"/>
      </w:pPr>
      <w:r>
        <w:rPr>
          <w:rFonts w:ascii="Calibri" w:hAnsi="Calibri"/>
          <w:sz w:val="22"/>
        </w:rPr>
        <w:t>Technical annex containing normalized findings.</w:t>
      </w:r>
    </w:p>
    <w:p>
      <w:r>
        <w:rPr>
          <w:rFonts w:ascii="Calibri" w:hAnsi="Calibri"/>
          <w:sz w:val="22"/>
        </w:rPr>
        <w:t>The executive report MUST NOT state that a mission is "secure." It MAY state that defined claims are supported by specified evidence within a documented scope and confidence level.</w:t>
      </w:r>
    </w:p>
    <w:p>
      <w:pPr>
        <w:pStyle w:val="Heading3"/>
      </w:pPr>
      <w:r>
        <w:rPr>
          <w:rFonts w:ascii="Calibri" w:hAnsi="Calibri"/>
          <w:color w:val="1F4D78"/>
          <w:sz w:val="24"/>
        </w:rPr>
        <w:t>5.5 Roles and Responsibilities</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Role</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Required responsibility</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Evidence Producer</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Perform the independently defined engagement and provide whatever source material that engagement requires; no FARI knowledge or FARI-formatted deliverable is required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Report Author</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Ingest arbitrary source material, create all FARI records, review sufficiency, normalize findings, add only labeled assumptions and inferences, validate mappings, assign conclusions, and write individual and consolidated reports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Mission Owner</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Confirm mission context, control effectiveness, consequence definitions, owners, and treatment decisions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Risk Authority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Accept, reject, transfer, or require treatment of residual risk</w:t>
            </w:r>
          </w:p>
        </w:tc>
      </w:tr>
    </w:tbl>
    <w:p>
      <w:pPr>
        <w:spacing w:after="20"/>
      </w:pPr>
    </w:p>
    <w:p>
      <w:r>
        <w:rPr>
          <w:rFonts w:ascii="Calibri" w:hAnsi="Calibri"/>
          <w:sz w:val="22"/>
        </w:rPr>
        <w:t>One person MAY perform multiple roles, but the report MUST state which role was performed for each material decision.</w:t>
      </w:r>
    </w:p>
    <w:p>
      <w:pPr>
        <w:pStyle w:val="Heading3"/>
      </w:pPr>
      <w:r>
        <w:rPr>
          <w:rFonts w:ascii="Calibri" w:hAnsi="Calibri"/>
          <w:color w:val="1F4D78"/>
          <w:sz w:val="24"/>
        </w:rPr>
        <w:t>5.6 Handling Missing or Conflicting Information</w:t>
      </w:r>
    </w:p>
    <w:p>
      <w:r>
        <w:rPr>
          <w:rFonts w:ascii="Calibri" w:hAnsi="Calibri"/>
          <w:sz w:val="22"/>
        </w:rPr>
        <w:t>When information is missing, the report author MUST:</w:t>
      </w:r>
    </w:p>
    <w:p>
      <w:pPr>
        <w:spacing w:after="80" w:line="300" w:lineRule="auto"/>
        <w:numPr>
          <w:ilvl w:val="0"/>
          <w:numId w:val="13"/>
        </w:numPr>
      </w:pPr>
      <w:r>
        <w:rPr>
          <w:rFonts w:ascii="Calibri" w:hAnsi="Calibri"/>
          <w:sz w:val="22"/>
        </w:rPr>
        <w:t>Preserve the strongest conclusion supported by the available evidence.</w:t>
      </w:r>
    </w:p>
    <w:p>
      <w:pPr>
        <w:spacing w:after="80" w:line="300" w:lineRule="auto"/>
        <w:numPr>
          <w:ilvl w:val="0"/>
          <w:numId w:val="13"/>
        </w:numPr>
      </w:pPr>
      <w:r>
        <w:rPr>
          <w:rFonts w:ascii="Calibri" w:hAnsi="Calibri"/>
          <w:sz w:val="22"/>
        </w:rPr>
        <w:t>Add required context only as an explicit assumption or inference.</w:t>
      </w:r>
    </w:p>
    <w:p>
      <w:pPr>
        <w:spacing w:after="80" w:line="300" w:lineRule="auto"/>
        <w:numPr>
          <w:ilvl w:val="0"/>
          <w:numId w:val="13"/>
        </w:numPr>
      </w:pPr>
      <w:r>
        <w:rPr>
          <w:rFonts w:ascii="Calibri" w:hAnsi="Calibri"/>
          <w:sz w:val="22"/>
        </w:rPr>
        <w:t>Record the missing information as an evidence gap and define the exact evidence needed.</w:t>
      </w:r>
    </w:p>
    <w:p>
      <w:pPr>
        <w:spacing w:after="80" w:line="300" w:lineRule="auto"/>
        <w:numPr>
          <w:ilvl w:val="0"/>
          <w:numId w:val="13"/>
        </w:numPr>
      </w:pPr>
      <w:r>
        <w:rPr>
          <w:rFonts w:ascii="Calibri" w:hAnsi="Calibri"/>
          <w:sz w:val="22"/>
        </w:rPr>
        <w:t>Reduce confidence where the gap affects the conclusion.</w:t>
      </w:r>
    </w:p>
    <w:p>
      <w:pPr>
        <w:spacing w:after="80" w:line="300" w:lineRule="auto"/>
        <w:numPr>
          <w:ilvl w:val="0"/>
          <w:numId w:val="13"/>
        </w:numPr>
      </w:pPr>
      <w:r>
        <w:rPr>
          <w:rFonts w:ascii="Calibri" w:hAnsi="Calibri"/>
          <w:sz w:val="22"/>
        </w:rPr>
        <w:t>Avoid minimizing a credible condition merely because evidence is incomplete.</w:t>
      </w:r>
    </w:p>
    <w:p>
      <w:r>
        <w:rPr>
          <w:rFonts w:ascii="Calibri" w:hAnsi="Calibri"/>
          <w:sz w:val="22"/>
        </w:rPr>
        <w:t>When evidence conflicts, the report author MUST describe the contradiction, avoid selecting a preferred interpretation without rationale, and request resolution evidence.</w:t>
      </w:r>
    </w:p>
    <w:p>
      <w:pPr>
        <w:pStyle w:val="Heading3"/>
      </w:pPr>
      <w:r>
        <w:rPr>
          <w:rFonts w:ascii="Calibri" w:hAnsi="Calibri"/>
          <w:color w:val="1F4D78"/>
          <w:sz w:val="24"/>
        </w:rPr>
        <w:t>5.7 Report Maturity</w:t>
      </w:r>
    </w:p>
    <w:p>
      <w:r>
        <w:rPr>
          <w:rFonts w:ascii="Calibri" w:hAnsi="Calibri"/>
          <w:sz w:val="22"/>
        </w:rPr>
        <w:t>Every FARI report MUST declare one maturity state: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Meaning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Draft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Report structure or analysis is still being developed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Provisional</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Actionable analysis exists, but material evidence gaps, assumptions, contradictions, or mission-owner decisions remain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Final</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evidence reviews and mission-owner validations are complete for the declared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Superseded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 newer report version replaces this report</w:t>
            </w:r>
          </w:p>
        </w:tc>
      </w:tr>
    </w:tbl>
    <w:p>
      <w:pPr>
        <w:spacing w:after="20"/>
      </w:pPr>
    </w:p>
    <w:p>
      <w:r>
        <w:rPr>
          <w:rFonts w:ascii="Calibri" w:hAnsi="Calibri"/>
          <w:sz w:val="22"/>
        </w:rPr>
        <w:t>A provisional report MAY contain confirmed technical findings. Report maturity describes the completeness of the report, not the state of every finding.</w:t>
      </w:r>
    </w:p>
    <w:p>
      <w:pPr>
        <w:pStyle w:val="Heading3"/>
      </w:pPr>
      <w:r>
        <w:rPr>
          <w:rFonts w:ascii="Calibri" w:hAnsi="Calibri"/>
          <w:color w:val="1F4D78"/>
          <w:sz w:val="24"/>
        </w:rPr>
        <w:t>5.8 FARI Result Card</w:t>
      </w:r>
    </w:p>
    <w:p>
      <w:r>
        <w:rPr>
          <w:rFonts w:ascii="Calibri" w:hAnsi="Calibri"/>
          <w:sz w:val="22"/>
        </w:rPr>
        <w:t>Every investigation report MUST end with a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Required content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Conclusion</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Meets</w:t>
            </w:r>
            <w:r>
              <w:rPr>
                <w:rFonts w:ascii="Calibri" w:hAnsi="Calibri"/>
                <w:color w:val="0B2545"/>
                <w:sz w:val="18"/>
              </w:rPr>
              <w:t xml:space="preserve">, </w:t>
            </w:r>
            <w:r>
              <w:rPr>
                <w:rFonts w:ascii="Courier New" w:hAnsi="Courier New"/>
                <w:color w:val="1F4D78"/>
                <w:sz w:val="18"/>
              </w:rPr>
              <w:t>Does Not Meet</w:t>
            </w:r>
            <w:r>
              <w:rPr>
                <w:rFonts w:ascii="Calibri" w:hAnsi="Calibri"/>
                <w:color w:val="0B2545"/>
                <w:sz w:val="18"/>
              </w:rPr>
              <w:t xml:space="preserve">, </w:t>
            </w:r>
            <w:r>
              <w:rPr>
                <w:rFonts w:ascii="Courier New" w:hAnsi="Courier New"/>
                <w:color w:val="1F4D78"/>
                <w:sz w:val="18"/>
              </w:rPr>
              <w:t>Inconclusive</w:t>
            </w:r>
            <w:r>
              <w:rPr>
                <w:rFonts w:ascii="Calibri" w:hAnsi="Calibri"/>
                <w:color w:val="0B2545"/>
                <w:sz w:val="18"/>
              </w:rPr>
              <w:t xml:space="preserve">, or </w:t>
            </w:r>
            <w:r>
              <w:rPr>
                <w:rFonts w:ascii="Courier New" w:hAnsi="Courier New"/>
                <w:color w:val="1F4D78"/>
                <w:sz w:val="18"/>
              </w:rPr>
              <w:t>Not Assessed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High</w:t>
            </w:r>
            <w:r>
              <w:rPr>
                <w:rFonts w:ascii="Calibri" w:hAnsi="Calibri"/>
                <w:color w:val="0B2545"/>
                <w:sz w:val="18"/>
              </w:rPr>
              <w:t xml:space="preserve">, </w:t>
            </w:r>
            <w:r>
              <w:rPr>
                <w:rFonts w:ascii="Courier New" w:hAnsi="Courier New"/>
                <w:color w:val="1F4D78"/>
                <w:sz w:val="18"/>
              </w:rPr>
              <w:t>Medium</w:t>
            </w:r>
            <w:r>
              <w:rPr>
                <w:rFonts w:ascii="Calibri" w:hAnsi="Calibri"/>
                <w:color w:val="0B2545"/>
                <w:sz w:val="18"/>
              </w:rPr>
              <w:t xml:space="preserve">, or </w:t>
            </w:r>
            <w:r>
              <w:rPr>
                <w:rFonts w:ascii="Courier New" w:hAnsi="Courier New"/>
                <w:color w:val="1F4D78"/>
                <w:sz w:val="18"/>
              </w:rPr>
              <w:t>Low</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Accept</w:t>
            </w:r>
            <w:r>
              <w:rPr>
                <w:rFonts w:ascii="Calibri" w:hAnsi="Calibri"/>
                <w:color w:val="0B2545"/>
                <w:sz w:val="18"/>
              </w:rPr>
              <w:t xml:space="preserve">, </w:t>
            </w:r>
            <w:r>
              <w:rPr>
                <w:rFonts w:ascii="Courier New" w:hAnsi="Courier New"/>
                <w:color w:val="1F4D78"/>
                <w:sz w:val="18"/>
              </w:rPr>
              <w:t>Remediate</w:t>
            </w:r>
            <w:r>
              <w:rPr>
                <w:rFonts w:ascii="Calibri" w:hAnsi="Calibri"/>
                <w:color w:val="0B2545"/>
                <w:sz w:val="18"/>
              </w:rPr>
              <w:t xml:space="preserve">, </w:t>
            </w:r>
            <w:r>
              <w:rPr>
                <w:rFonts w:ascii="Courier New" w:hAnsi="Courier New"/>
                <w:color w:val="1F4D78"/>
                <w:sz w:val="18"/>
              </w:rPr>
              <w:t>Extend Investigation</w:t>
            </w:r>
            <w:r>
              <w:rPr>
                <w:rFonts w:ascii="Calibri" w:hAnsi="Calibri"/>
                <w:color w:val="0B2545"/>
                <w:sz w:val="18"/>
              </w:rPr>
              <w:t xml:space="preserve">, </w:t>
            </w:r>
            <w:r>
              <w:rPr>
                <w:rFonts w:ascii="Courier New" w:hAnsi="Courier New"/>
                <w:color w:val="1F4D78"/>
                <w:sz w:val="18"/>
              </w:rPr>
              <w:t>Retest</w:t>
            </w:r>
            <w:r>
              <w:rPr>
                <w:rFonts w:ascii="Calibri" w:hAnsi="Calibri"/>
                <w:color w:val="0B2545"/>
                <w:sz w:val="18"/>
              </w:rPr>
              <w:t xml:space="preserve">, or </w:t>
            </w:r>
            <w:r>
              <w:rPr>
                <w:rFonts w:ascii="Courier New" w:hAnsi="Courier New"/>
                <w:color w:val="1F4D78"/>
                <w:sz w:val="18"/>
              </w:rPr>
              <w:t>No Action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Immediate</w:t>
            </w:r>
            <w:r>
              <w:rPr>
                <w:rFonts w:ascii="Calibri" w:hAnsi="Calibri"/>
                <w:color w:val="0B2545"/>
                <w:sz w:val="18"/>
              </w:rPr>
              <w:t xml:space="preserve">, </w:t>
            </w:r>
            <w:r>
              <w:rPr>
                <w:rFonts w:ascii="Courier New" w:hAnsi="Courier New"/>
                <w:color w:val="1F4D78"/>
                <w:sz w:val="18"/>
              </w:rPr>
              <w:t>Planned</w:t>
            </w:r>
            <w:r>
              <w:rPr>
                <w:rFonts w:ascii="Calibri" w:hAnsi="Calibri"/>
                <w:color w:val="0B2545"/>
                <w:sz w:val="18"/>
              </w:rPr>
              <w:t xml:space="preserve">, </w:t>
            </w:r>
            <w:r>
              <w:rPr>
                <w:rFonts w:ascii="Courier New" w:hAnsi="Courier New"/>
                <w:color w:val="1F4D78"/>
                <w:sz w:val="18"/>
              </w:rPr>
              <w:t>Routine</w:t>
            </w:r>
            <w:r>
              <w:rPr>
                <w:rFonts w:ascii="Calibri" w:hAnsi="Calibri"/>
                <w:color w:val="0B2545"/>
                <w:sz w:val="18"/>
              </w:rPr>
              <w:t xml:space="preserve">, or </w:t>
            </w:r>
            <w:r>
              <w:rPr>
                <w:rFonts w:ascii="Courier New" w:hAnsi="Courier New"/>
                <w:color w:val="1F4D78"/>
                <w:sz w:val="18"/>
              </w:rPr>
              <w:t>None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The exact assets, environment, claim, and exclusions to which the conclusion applies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Rationale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 short evidence-based explanation</w:t>
            </w:r>
          </w:p>
        </w:tc>
      </w:tr>
    </w:tbl>
    <w:p>
      <w:pPr>
        <w:spacing w:after="20"/>
      </w:pPr>
    </w:p>
    <w:p>
      <w:r>
        <w:rPr>
          <w:rFonts w:ascii="Calibri" w:hAnsi="Calibri"/>
          <w:sz w:val="22"/>
        </w:rPr>
        <w:t>The Conclusion is a qualitative executive metric. It is not a vulnerability score, severity score, or statement that a complete system is secure.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Conclusion</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Meaning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Meets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Evidence supports the evaluated claim within the declared scope and no material claim failure was demonstrated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Does Not Meet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Evidence demonstrates that the evaluated claim fails within the declared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Inconclusive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Relevant investigation occurred, but evidence, contradictions, or scope limitations prevent resolution of the claim</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No relevant investigation was completed, or the claim was explicitly outside scope</w:t>
            </w:r>
          </w:p>
        </w:tc>
      </w:tr>
    </w:tbl>
    <w:p>
      <w:pPr>
        <w:spacing w:after="20"/>
      </w:pPr>
    </w:p>
    <w:p>
      <w:r>
        <w:rPr>
          <w:rFonts w:ascii="Courier New" w:hAnsi="Courier New"/>
          <w:color w:val="1F4D78"/>
          <w:sz w:val="20"/>
        </w:rPr>
        <w:t>Inconclusive</w:t>
      </w:r>
      <w:r>
        <w:rPr>
          <w:rFonts w:ascii="Calibri" w:hAnsi="Calibri"/>
          <w:sz w:val="22"/>
        </w:rPr>
        <w:t xml:space="preserve"> is a valid conclusion, but it MUST identify a next action. The next action may extend the investigation, increase scope, request a different validation method, or schedule a retest.</w:t>
      </w:r>
    </w:p>
    <w:p>
      <w:pPr>
        <w:pStyle w:val="Heading3"/>
      </w:pPr>
      <w:r>
        <w:rPr>
          <w:rFonts w:ascii="Calibri" w:hAnsi="Calibri"/>
          <w:color w:val="1F4D78"/>
          <w:sz w:val="24"/>
        </w:rPr>
        <w:t>5.9 Consolidated Assessment Conclusion</w:t>
      </w:r>
    </w:p>
    <w:p>
      <w:r>
        <w:rPr>
          <w:rFonts w:ascii="Calibri" w:hAnsi="Calibri"/>
          <w:sz w:val="22"/>
        </w:rPr>
        <w:t>An assessment containing multiple investigations MUST produce one consolidated assessment report. The report presents every claim and investigation result, their scope boundaries, open actions, and one overall FARI Conclusion.</w:t>
      </w:r>
    </w:p>
    <w:p>
      <w:r>
        <w:rPr>
          <w:rFonts w:ascii="Calibri" w:hAnsi="Calibri"/>
          <w:sz w:val="22"/>
        </w:rPr>
        <w:t xml:space="preserve">The Assessment Owner MUST identify which claims are </w:t>
      </w:r>
      <w:r>
        <w:rPr>
          <w:rFonts w:ascii="Calibri" w:hAnsi="Calibri"/>
          <w:b/>
          <w:sz w:val="22"/>
        </w:rPr>
        <w:t>gating claims</w:t>
      </w:r>
      <w:r>
        <w:rPr>
          <w:rFonts w:ascii="Calibri" w:hAnsi="Calibri"/>
          <w:sz w:val="22"/>
        </w:rPr>
        <w:t xml:space="preserve"> before consolidation. The overall conclusion is derived without averaging:</w:t>
      </w:r>
    </w:p>
    <w:p>
      <w:pPr>
        <w:spacing w:after="80" w:line="300" w:lineRule="auto"/>
        <w:numPr>
          <w:ilvl w:val="0"/>
          <w:numId w:val="14"/>
        </w:numPr>
      </w:pPr>
      <w:r>
        <w:rPr>
          <w:rFonts w:ascii="Courier New" w:hAnsi="Courier New"/>
          <w:color w:val="1F4D78"/>
          <w:sz w:val="20"/>
        </w:rPr>
        <w:t>Does Not Meet</w:t>
      </w:r>
      <w:r>
        <w:rPr>
          <w:rFonts w:ascii="Calibri" w:hAnsi="Calibri"/>
          <w:sz w:val="22"/>
        </w:rPr>
        <w:t xml:space="preserve"> when any gating claim is </w:t>
      </w:r>
      <w:r>
        <w:rPr>
          <w:rFonts w:ascii="Courier New" w:hAnsi="Courier New"/>
          <w:color w:val="1F4D78"/>
          <w:sz w:val="20"/>
        </w:rPr>
        <w:t>Does Not Meet</w:t>
      </w:r>
      <w:r>
        <w:rPr>
          <w:rFonts w:ascii="Calibri" w:hAnsi="Calibri"/>
          <w:sz w:val="22"/>
        </w:rPr>
        <w:t>.</w:t>
      </w:r>
    </w:p>
    <w:p>
      <w:pPr>
        <w:spacing w:after="80" w:line="300" w:lineRule="auto"/>
        <w:numPr>
          <w:ilvl w:val="0"/>
          <w:numId w:val="14"/>
        </w:numPr>
      </w:pPr>
      <w:r>
        <w:rPr>
          <w:rFonts w:ascii="Calibri" w:hAnsi="Calibri"/>
          <w:sz w:val="22"/>
        </w:rPr>
        <w:t xml:space="preserve">Otherwise, </w:t>
      </w:r>
      <w:r>
        <w:rPr>
          <w:rFonts w:ascii="Courier New" w:hAnsi="Courier New"/>
          <w:color w:val="1F4D78"/>
          <w:sz w:val="20"/>
        </w:rPr>
        <w:t>Inconclusive</w:t>
      </w:r>
      <w:r>
        <w:rPr>
          <w:rFonts w:ascii="Calibri" w:hAnsi="Calibri"/>
          <w:sz w:val="22"/>
        </w:rPr>
        <w:t xml:space="preserve"> when any gating claim is </w:t>
      </w:r>
      <w:r>
        <w:rPr>
          <w:rFonts w:ascii="Courier New" w:hAnsi="Courier New"/>
          <w:color w:val="1F4D78"/>
          <w:sz w:val="20"/>
        </w:rPr>
        <w:t>Inconclusive</w:t>
      </w:r>
      <w:r>
        <w:rPr>
          <w:rFonts w:ascii="Calibri" w:hAnsi="Calibri"/>
          <w:sz w:val="22"/>
        </w:rPr>
        <w:t xml:space="preserve"> or </w:t>
      </w:r>
      <w:r>
        <w:rPr>
          <w:rFonts w:ascii="Courier New" w:hAnsi="Courier New"/>
          <w:color w:val="1F4D78"/>
          <w:sz w:val="20"/>
        </w:rPr>
        <w:t>Not Assessed</w:t>
      </w:r>
      <w:r>
        <w:rPr>
          <w:rFonts w:ascii="Calibri" w:hAnsi="Calibri"/>
          <w:sz w:val="22"/>
        </w:rPr>
        <w:t>.</w:t>
      </w:r>
    </w:p>
    <w:p>
      <w:pPr>
        <w:spacing w:after="80" w:line="300" w:lineRule="auto"/>
        <w:numPr>
          <w:ilvl w:val="0"/>
          <w:numId w:val="14"/>
        </w:numPr>
      </w:pPr>
      <w:r>
        <w:rPr>
          <w:rFonts w:ascii="Courier New" w:hAnsi="Courier New"/>
          <w:color w:val="1F4D78"/>
          <w:sz w:val="20"/>
        </w:rPr>
        <w:t>Meets</w:t>
      </w:r>
      <w:r>
        <w:rPr>
          <w:rFonts w:ascii="Calibri" w:hAnsi="Calibri"/>
          <w:sz w:val="22"/>
        </w:rPr>
        <w:t xml:space="preserve"> only when every gating claim is </w:t>
      </w:r>
      <w:r>
        <w:rPr>
          <w:rFonts w:ascii="Courier New" w:hAnsi="Courier New"/>
          <w:color w:val="1F4D78"/>
          <w:sz w:val="20"/>
        </w:rPr>
        <w:t>Meets</w:t>
      </w:r>
      <w:r>
        <w:rPr>
          <w:rFonts w:ascii="Calibri" w:hAnsi="Calibri"/>
          <w:sz w:val="22"/>
        </w:rPr>
        <w:t>.</w:t>
      </w:r>
    </w:p>
    <w:p>
      <w:pPr>
        <w:spacing w:after="80" w:line="300" w:lineRule="auto"/>
        <w:numPr>
          <w:ilvl w:val="0"/>
          <w:numId w:val="14"/>
        </w:numPr>
      </w:pPr>
      <w:r>
        <w:rPr>
          <w:rFonts w:ascii="Courier New" w:hAnsi="Courier New"/>
          <w:color w:val="1F4D78"/>
          <w:sz w:val="20"/>
        </w:rPr>
        <w:t>Not Assessed</w:t>
      </w:r>
      <w:r>
        <w:rPr>
          <w:rFonts w:ascii="Calibri" w:hAnsi="Calibri"/>
          <w:sz w:val="22"/>
        </w:rPr>
        <w:t xml:space="preserve"> when no gating claim was defined or evaluated.</w:t>
      </w:r>
    </w:p>
    <w:p>
      <w:r>
        <w:rPr>
          <w:rFonts w:ascii="Calibri" w:hAnsi="Calibri"/>
          <w:sz w:val="22"/>
        </w:rPr>
        <w:t>Non-gating findings remain visible and actionable but do not silently change the declared overall conclusion rule.</w:t>
      </w:r>
    </w:p>
    <w:p>
      <w:pPr>
        <w:pStyle w:val="Heading2"/>
      </w:pPr>
      <w:r>
        <w:rPr>
          <w:rFonts w:ascii="Calibri" w:hAnsi="Calibri"/>
          <w:color w:val="2E74B5"/>
          <w:sz w:val="26"/>
        </w:rPr>
        <w:t>6. Mission Context and Asset Graph</w:t>
      </w:r>
    </w:p>
    <w:p>
      <w:r>
        <w:rPr>
          <w:rFonts w:ascii="Calibri" w:hAnsi="Calibri"/>
          <w:sz w:val="22"/>
        </w:rPr>
        <w:t>The asset graph is the common map that lets separate assessments connect without requiring FARI to define every technology.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r>
        <w:rPr>
          <w:rFonts w:ascii="Calibri" w:hAnsi="Calibri"/>
          <w:sz w:val="22"/>
        </w:rPr>
        <w:t>Every scoped asset SHOULD have:</w:t>
      </w:r>
    </w:p>
    <w:p>
      <w:pPr>
        <w:pStyle w:val="ListBullet"/>
      </w:pPr>
      <w:r>
        <w:rPr>
          <w:rFonts w:ascii="Calibri" w:hAnsi="Calibri"/>
          <w:sz w:val="22"/>
        </w:rPr>
        <w:t>Stable asset ID and owner.</w:t>
      </w:r>
    </w:p>
    <w:p>
      <w:pPr>
        <w:pStyle w:val="ListBullet"/>
      </w:pPr>
      <w:r>
        <w:rPr>
          <w:rFonts w:ascii="Calibri" w:hAnsi="Calibri"/>
          <w:sz w:val="22"/>
        </w:rPr>
        <w:t>Segment and component class.</w:t>
      </w:r>
    </w:p>
    <w:p>
      <w:pPr>
        <w:pStyle w:val="ListBullet"/>
      </w:pPr>
      <w:r>
        <w:rPr>
          <w:rFonts w:ascii="Calibri" w:hAnsi="Calibri"/>
          <w:sz w:val="22"/>
        </w:rPr>
        <w:t>Mission functions supported.</w:t>
      </w:r>
    </w:p>
    <w:p>
      <w:pPr>
        <w:pStyle w:val="ListBullet"/>
      </w:pPr>
      <w:r>
        <w:rPr>
          <w:rFonts w:ascii="Calibri" w:hAnsi="Calibri"/>
          <w:sz w:val="22"/>
        </w:rPr>
        <w:t>Trust boundaries and interfaces.</w:t>
      </w:r>
    </w:p>
    <w:p>
      <w:pPr>
        <w:pStyle w:val="ListBullet"/>
      </w:pPr>
      <w:r>
        <w:rPr>
          <w:rFonts w:ascii="Calibri" w:hAnsi="Calibri"/>
          <w:sz w:val="22"/>
        </w:rPr>
        <w:t>Operational modes and lifecycle state.</w:t>
      </w:r>
    </w:p>
    <w:p>
      <w:pPr>
        <w:pStyle w:val="ListBullet"/>
      </w:pPr>
      <w:r>
        <w:rPr>
          <w:rFonts w:ascii="Calibri" w:hAnsi="Calibri"/>
          <w:sz w:val="22"/>
        </w:rPr>
        <w:t>Upstream and downstream dependencies.</w:t>
      </w:r>
    </w:p>
    <w:p>
      <w:pPr>
        <w:pStyle w:val="ListBullet"/>
      </w:pPr>
      <w:r>
        <w:rPr>
          <w:rFonts w:ascii="Calibri" w:hAnsi="Calibri"/>
          <w:sz w:val="22"/>
        </w:rPr>
        <w:t>Safety, availability, integrity, confidentiality, and recovery needs.</w:t>
      </w:r>
    </w:p>
    <w:p>
      <w:pPr>
        <w:pStyle w:val="ListBullet"/>
      </w:pPr>
      <w:r>
        <w:rPr>
          <w:rFonts w:ascii="Calibri" w:hAnsi="Calibri"/>
          <w:sz w:val="22"/>
        </w:rPr>
        <w:t>Whether it was tested, reviewed, inferred, or not assessed.</w:t>
      </w:r>
    </w:p>
    <w:p>
      <w:pPr>
        <w:pStyle w:val="Heading2"/>
      </w:pPr>
      <w:r>
        <w:rPr>
          <w:rFonts w:ascii="Calibri" w:hAnsi="Calibri"/>
          <w:color w:val="2E74B5"/>
          <w:sz w:val="26"/>
        </w:rPr>
        <w:t>7. Access and Environment Model</w:t>
      </w:r>
    </w:p>
    <w:p>
      <w:r>
        <w:rPr>
          <w:rFonts w:ascii="Calibri" w:hAnsi="Calibri"/>
          <w:sz w:val="22"/>
        </w:rPr>
        <w:t>Access level is recorded per asset or method run, not once for the entire engagement.</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Access model</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Typical inputs</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Important FARI implication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White box</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binaries, build instructions, design documents, credentials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Broad visibility does not prove runtime or hardware behavior</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Grey box</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 documentation, selected credentials, APIs, sample hardware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Explicitly record inaccessible interfaces and assumptions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Black box</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Public information and authorized observable interfaces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Conclusions usually carry narrower coverage and lower confidence</w:t>
            </w:r>
          </w:p>
        </w:tc>
      </w:tr>
    </w:tbl>
    <w:p>
      <w:pPr>
        <w:spacing w:after="20"/>
      </w:pPr>
    </w:p>
    <w:p>
      <w:r>
        <w:rPr>
          <w:rFonts w:ascii="Calibri" w:hAnsi="Calibri"/>
          <w:sz w:val="22"/>
        </w:rPr>
        <w:t>Execution environment is also explicit:</w:t>
      </w:r>
    </w:p>
    <w:p>
      <w:pPr>
        <w:pStyle w:val="ListBullet"/>
      </w:pPr>
      <w:r>
        <w:rPr>
          <w:rFonts w:ascii="Calibri" w:hAnsi="Calibri"/>
          <w:sz w:val="22"/>
        </w:rPr>
        <w:t>Production/on-orbit.</w:t>
      </w:r>
    </w:p>
    <w:p>
      <w:pPr>
        <w:pStyle w:val="ListBullet"/>
      </w:pPr>
      <w:r>
        <w:rPr>
          <w:rFonts w:ascii="Calibri" w:hAnsi="Calibri"/>
          <w:sz w:val="22"/>
        </w:rPr>
        <w:t>Operational ground environment.</w:t>
      </w:r>
    </w:p>
    <w:p>
      <w:pPr>
        <w:pStyle w:val="ListBullet"/>
      </w:pPr>
      <w:r>
        <w:rPr>
          <w:rFonts w:ascii="Calibri" w:hAnsi="Calibri"/>
          <w:sz w:val="22"/>
        </w:rPr>
        <w:t>FlatSat or hardware-in-the-loop.</w:t>
      </w:r>
    </w:p>
    <w:p>
      <w:pPr>
        <w:pStyle w:val="ListBullet"/>
      </w:pPr>
      <w:r>
        <w:rPr>
          <w:rFonts w:ascii="Calibri" w:hAnsi="Calibri"/>
          <w:sz w:val="22"/>
        </w:rPr>
        <w:t>Engineering model.</w:t>
      </w:r>
    </w:p>
    <w:p>
      <w:pPr>
        <w:pStyle w:val="ListBullet"/>
      </w:pPr>
      <w:r>
        <w:rPr>
          <w:rFonts w:ascii="Calibri" w:hAnsi="Calibri"/>
          <w:sz w:val="22"/>
        </w:rPr>
        <w:t>Emulator or digital twin.</w:t>
      </w:r>
    </w:p>
    <w:p>
      <w:pPr>
        <w:pStyle w:val="ListBullet"/>
      </w:pPr>
      <w:r>
        <w:rPr>
          <w:rFonts w:ascii="Calibri" w:hAnsi="Calibri"/>
          <w:sz w:val="22"/>
        </w:rPr>
        <w:t>Static/offline analysis.</w:t>
      </w:r>
    </w:p>
    <w:p>
      <w:r>
        <w:rPr>
          <w:rFonts w:ascii="Calibri" w:hAnsi="Calibri"/>
          <w:sz w:val="22"/>
        </w:rPr>
        <w:t>Evidence from an emulator MUST NOT be presented as proof of physical hardware, timing, RF, or on-orbit behavior unless separately validated.</w:t>
      </w:r>
    </w:p>
    <w:p>
      <w:pPr>
        <w:pStyle w:val="Heading2"/>
      </w:pPr>
      <w:r>
        <w:rPr>
          <w:rFonts w:ascii="Calibri" w:hAnsi="Calibri"/>
          <w:color w:val="2E74B5"/>
          <w:sz w:val="26"/>
        </w:rPr>
        <w:t>8. SPARTA as a Key FARI Profile</w:t>
      </w:r>
    </w:p>
    <w:p>
      <w:r>
        <w:rPr>
          <w:rFonts w:ascii="Calibri" w:hAnsi="Calibri"/>
          <w:sz w:val="22"/>
        </w:rPr>
        <w:t>SPARTA provides the common taxonomy for spacecraft-focused tactics, techniques, sub-techniques, countermeasures, and notional risk information. FARI uses it to connect technical findings to credible adversary behavior and defensive action.</w:t>
      </w:r>
    </w:p>
    <w:p>
      <w:r>
        <w:rPr>
          <w:rFonts w:ascii="Calibri" w:hAnsi="Calibri"/>
          <w:sz w:val="22"/>
        </w:rPr>
        <w:t>FARI requires:</w:t>
      </w:r>
    </w:p>
    <w:p>
      <w:pPr>
        <w:pStyle w:val="ListBullet"/>
      </w:pPr>
      <w:r>
        <w:rPr>
          <w:rFonts w:ascii="Calibri" w:hAnsi="Calibri"/>
          <w:sz w:val="22"/>
        </w:rPr>
        <w:t>Declaring the SPARTA version or access date.</w:t>
      </w:r>
    </w:p>
    <w:p>
      <w:pPr>
        <w:pStyle w:val="ListBullet"/>
      </w:pPr>
      <w:r>
        <w:rPr>
          <w:rFonts w:ascii="Calibri" w:hAnsi="Calibri"/>
          <w:sz w:val="22"/>
        </w:rPr>
        <w:t>Recording exact IDs and names from the declared version.</w:t>
      </w:r>
    </w:p>
    <w:p>
      <w:pPr>
        <w:pStyle w:val="ListBullet"/>
      </w:pPr>
      <w:r>
        <w:rPr>
          <w:rFonts w:ascii="Calibri" w:hAnsi="Calibri"/>
          <w:sz w:val="22"/>
        </w:rPr>
        <w:t>Distinguishing confirmed mappings from candidate mappings.</w:t>
      </w:r>
    </w:p>
    <w:p>
      <w:pPr>
        <w:pStyle w:val="ListBullet"/>
      </w:pPr>
      <w:r>
        <w:rPr>
          <w:rFonts w:ascii="Calibri" w:hAnsi="Calibri"/>
          <w:sz w:val="22"/>
        </w:rPr>
        <w:t>Recording applicability and non-applicability decisions.</w:t>
      </w:r>
    </w:p>
    <w:p>
      <w:pPr>
        <w:pStyle w:val="ListBullet"/>
      </w:pPr>
      <w:r>
        <w:rPr>
          <w:rFonts w:ascii="Calibri" w:hAnsi="Calibri"/>
          <w:sz w:val="22"/>
        </w:rPr>
        <w:t>Preserving SPARTA Notional Risk Scores as external reference data, not silently replacing them with the FARI Conclusion.</w:t>
      </w:r>
    </w:p>
    <w:p>
      <w:pPr>
        <w:pStyle w:val="ListBullet"/>
      </w:pPr>
      <w:r>
        <w:rPr>
          <w:rFonts w:ascii="Calibri" w:hAnsi="Calibri"/>
          <w:sz w:val="22"/>
        </w:rPr>
        <w:t>Reviewing cross-segment paths that may lead from ground or user compromise to spacecraft effects.</w:t>
      </w:r>
    </w:p>
    <w:p>
      <w:r>
        <w:rPr>
          <w:rFonts w:ascii="Calibri" w:hAnsi="Calibri"/>
          <w:sz w:val="22"/>
        </w:rPr>
        <w:t>SPARTA mapping does not create evidence. A technique mapping explains the finding; it does not prove the finding.</w:t>
      </w:r>
    </w:p>
    <w:p>
      <w:r>
        <w:rPr>
          <w:rFonts w:ascii="Calibri" w:hAnsi="Calibri"/>
          <w:sz w:val="22"/>
        </w:rPr>
        <w:t>See FARI-SPARTA-INTEGRATION.md (FARI-SPARTA-INTEGRATION.md).</w:t>
      </w:r>
    </w:p>
    <w:p>
      <w:pPr>
        <w:pStyle w:val="Heading2"/>
      </w:pPr>
      <w:r>
        <w:rPr>
          <w:rFonts w:ascii="Calibri" w:hAnsi="Calibri"/>
          <w:color w:val="2E74B5"/>
          <w:sz w:val="26"/>
        </w:rPr>
        <w:t>9. FARI Conclusion and Decision Model</w:t>
      </w:r>
    </w:p>
    <w:p>
      <w:pPr>
        <w:pStyle w:val="Heading3"/>
      </w:pPr>
      <w:r>
        <w:rPr>
          <w:rFonts w:ascii="Calibri" w:hAnsi="Calibri"/>
          <w:color w:val="1F4D78"/>
          <w:sz w:val="24"/>
        </w:rPr>
        <w:t>9.1 Why FARI does not use a vulnerability score</w:t>
      </w:r>
    </w:p>
    <w:p>
      <w:r>
        <w:rPr>
          <w:rFonts w:ascii="Calibri" w:hAnsi="Calibri"/>
          <w:sz w:val="22"/>
        </w:rPr>
        <w:t>A numeric vulnerability or average security score can hide a critical condition, incomplete scope, or weak evidence. FARI therefore uses a qualitative Conclusion as its required executive metric and keeps the following dimensions separate:</w:t>
      </w:r>
    </w:p>
    <w:p>
      <w:pPr>
        <w:pStyle w:val="ListBullet"/>
      </w:pPr>
      <w:r>
        <w:rPr>
          <w:rFonts w:ascii="Calibri" w:hAnsi="Calibri"/>
          <w:b/>
          <w:sz w:val="22"/>
        </w:rPr>
        <w:t>Conclusion:</w:t>
      </w:r>
      <w:r>
        <w:rPr>
          <w:rFonts w:ascii="Calibri" w:hAnsi="Calibri"/>
          <w:sz w:val="22"/>
        </w:rPr>
        <w:t xml:space="preserve"> Whether the evaluated claim meets its acceptance criteria.</w:t>
      </w:r>
    </w:p>
    <w:p>
      <w:pPr>
        <w:pStyle w:val="ListBullet"/>
      </w:pPr>
      <w:r>
        <w:rPr>
          <w:rFonts w:ascii="Calibri" w:hAnsi="Calibri"/>
          <w:b/>
          <w:sz w:val="22"/>
        </w:rPr>
        <w:t>Confidence:</w:t>
      </w:r>
      <w:r>
        <w:rPr>
          <w:rFonts w:ascii="Calibri" w:hAnsi="Calibri"/>
          <w:sz w:val="22"/>
        </w:rPr>
        <w:t xml:space="preserve"> How strongly evidence supports the conclusion.</w:t>
      </w:r>
    </w:p>
    <w:p>
      <w:pPr>
        <w:pStyle w:val="ListBullet"/>
      </w:pPr>
      <w:r>
        <w:rPr>
          <w:rFonts w:ascii="Calibri" w:hAnsi="Calibri"/>
          <w:b/>
          <w:sz w:val="22"/>
        </w:rPr>
        <w:t>Coverage:</w:t>
      </w:r>
      <w:r>
        <w:rPr>
          <w:rFonts w:ascii="Calibri" w:hAnsi="Calibri"/>
          <w:sz w:val="22"/>
        </w:rPr>
        <w:t xml:space="preserve"> What was and was not assessed.</w:t>
      </w:r>
    </w:p>
    <w:p>
      <w:pPr>
        <w:pStyle w:val="ListBullet"/>
      </w:pPr>
      <w:r>
        <w:rPr>
          <w:rFonts w:ascii="Calibri" w:hAnsi="Calibri"/>
          <w:b/>
          <w:sz w:val="22"/>
        </w:rPr>
        <w:t>Priority:</w:t>
      </w:r>
      <w:r>
        <w:rPr>
          <w:rFonts w:ascii="Calibri" w:hAnsi="Calibri"/>
          <w:sz w:val="22"/>
        </w:rPr>
        <w:t xml:space="preserve"> How urgently the required action should be addressed.</w:t>
      </w:r>
    </w:p>
    <w:p>
      <w:pPr>
        <w:pStyle w:val="ListBullet"/>
      </w:pPr>
      <w:r>
        <w:rPr>
          <w:rFonts w:ascii="Calibri" w:hAnsi="Calibri"/>
          <w:b/>
          <w:sz w:val="22"/>
        </w:rPr>
        <w:t>Mission consequence:</w:t>
      </w:r>
      <w:r>
        <w:rPr>
          <w:rFonts w:ascii="Calibri" w:hAnsi="Calibri"/>
          <w:sz w:val="22"/>
        </w:rPr>
        <w:t xml:space="preserve"> What a credible scenario could cause, when known.</w:t>
      </w:r>
    </w:p>
    <w:p>
      <w:r>
        <w:rPr>
          <w:rFonts w:ascii="Calibri" w:hAnsi="Calibri"/>
          <w:sz w:val="22"/>
        </w:rPr>
        <w:t>FARI does not require CVSS, CWE, CVE assignment, or a numeric likelihood-by- consequence matrix. Organizations MAY attach those or another risk method as an optional profile, but the external metric MUST remain distinct from the FARI Conclusion.</w:t>
      </w:r>
    </w:p>
    <w:p>
      <w:pPr>
        <w:pStyle w:val="Heading3"/>
      </w:pPr>
      <w:r>
        <w:rPr>
          <w:rFonts w:ascii="Calibri" w:hAnsi="Calibri"/>
          <w:color w:val="1F4D78"/>
          <w:sz w:val="24"/>
        </w:rPr>
        <w:t>9.2 Scenario format</w:t>
      </w:r>
    </w:p>
    <w:p>
      <w:r>
        <w:rPr>
          <w:rFonts w:ascii="Calibri" w:hAnsi="Calibri"/>
          <w:sz w:val="22"/>
        </w:rPr>
        <w:t>Each confirmed finding SHOULD use this form: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 xml:space="preserve">Given </w:t>
            </w:r>
            <w:r>
              <w:rPr>
                <w:rFonts w:ascii="Calibri" w:hAnsi="Calibri"/>
                <w:b/>
                <w:color w:val="0B2545"/>
                <w:sz w:val="21"/>
              </w:rPr>
              <w:t>[threat source and preconditions]</w:t>
            </w:r>
            <w:r>
              <w:rPr>
                <w:rFonts w:ascii="Calibri" w:hAnsi="Calibri"/>
                <w:color w:val="0B2545"/>
                <w:sz w:val="21"/>
              </w:rPr>
              <w:t xml:space="preserve">, an actor could exploit </w:t>
            </w:r>
            <w:r>
              <w:rPr>
                <w:rFonts w:ascii="Calibri" w:hAnsi="Calibri"/>
                <w:b/>
                <w:color w:val="0B2545"/>
                <w:sz w:val="21"/>
              </w:rPr>
              <w:t>[condition]</w:t>
            </w:r>
            <w:r>
              <w:rPr>
                <w:rFonts w:ascii="Calibri" w:hAnsi="Calibri"/>
                <w:color w:val="0B2545"/>
                <w:sz w:val="21"/>
              </w:rPr>
              <w:t xml:space="preserve"> through </w:t>
            </w:r>
            <w:r>
              <w:rPr>
                <w:rFonts w:ascii="Calibri" w:hAnsi="Calibri"/>
                <w:b/>
                <w:color w:val="0B2545"/>
                <w:sz w:val="21"/>
              </w:rPr>
              <w:t>[attack path]</w:t>
            </w:r>
            <w:r>
              <w:rPr>
                <w:rFonts w:ascii="Calibri" w:hAnsi="Calibri"/>
                <w:color w:val="0B2545"/>
                <w:sz w:val="21"/>
              </w:rPr>
              <w:t xml:space="preserve">, causing </w:t>
            </w:r>
            <w:r>
              <w:rPr>
                <w:rFonts w:ascii="Calibri" w:hAnsi="Calibri"/>
                <w:b/>
                <w:color w:val="0B2545"/>
                <w:sz w:val="21"/>
              </w:rPr>
              <w:t>[technical effect]</w:t>
            </w:r>
            <w:r>
              <w:rPr>
                <w:rFonts w:ascii="Calibri" w:hAnsi="Calibri"/>
                <w:color w:val="0B2545"/>
                <w:sz w:val="21"/>
              </w:rPr>
              <w:t xml:space="preserve"> and potentially harming </w:t>
            </w:r>
            <w:r>
              <w:rPr>
                <w:rFonts w:ascii="Calibri" w:hAnsi="Calibri"/>
                <w:b/>
                <w:color w:val="0B2545"/>
                <w:sz w:val="21"/>
              </w:rPr>
              <w:t>[mission objective]</w:t>
            </w:r>
            <w:r>
              <w:rPr>
                <w:rFonts w:ascii="Calibri" w:hAnsi="Calibri"/>
                <w:color w:val="0B2545"/>
                <w:sz w:val="21"/>
              </w:rPr>
              <w:t xml:space="preserve"> through </w:t>
            </w:r>
            <w:r>
              <w:rPr>
                <w:rFonts w:ascii="Calibri" w:hAnsi="Calibri"/>
                <w:b/>
                <w:color w:val="0B2545"/>
                <w:sz w:val="21"/>
              </w:rPr>
              <w:t>[mission consequence]</w:t>
            </w:r>
            <w:r>
              <w:rPr>
                <w:rFonts w:ascii="Calibri" w:hAnsi="Calibri"/>
                <w:color w:val="0B2545"/>
                <w:sz w:val="21"/>
              </w:rPr>
              <w:t>.</w:t>
            </w:r>
          </w:p>
        </w:tc>
      </w:tr>
    </w:tbl>
    <w:p>
      <w:pPr>
        <w:spacing w:after="20"/>
      </w:pPr>
    </w:p>
    <w:p>
      <w:pPr>
        <w:pStyle w:val="Heading3"/>
      </w:pPr>
      <w:r>
        <w:rPr>
          <w:rFonts w:ascii="Calibri" w:hAnsi="Calibri"/>
          <w:color w:val="1F4D78"/>
          <w:sz w:val="24"/>
        </w:rPr>
        <w:t>9.3 Required action and priority</w:t>
      </w:r>
    </w:p>
    <w:p>
      <w:r>
        <w:rPr>
          <w:rFonts w:ascii="Calibri" w:hAnsi="Calibri"/>
          <w:sz w:val="22"/>
        </w:rPr>
        <w:t>The required action explains what must happen after the conclusion:</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Required Action</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Use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Accept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Record that the claim meets its criteria within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Correct a demonstrated claim failure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Extend Investigation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Resolve an inconclusive result through added scope, evidence, or another method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Retest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Verify a correction or previously unresolved behavior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No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Close an observation that requires no treatment; rationale is mandatory</w:t>
            </w:r>
          </w:p>
        </w:tc>
      </w:tr>
    </w:tbl>
    <w:p>
      <w:pPr>
        <w:spacing w:after="20"/>
      </w:pPr>
    </w:p>
    <w:p>
      <w:r>
        <w:rPr>
          <w:rFonts w:ascii="Calibri" w:hAnsi="Calibri"/>
          <w:sz w:val="22"/>
        </w:rPr>
        <w:t>Priority is qualitative and independent from Conclusion:</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Priority</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Meaning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Action is required before a named decision, operation, or release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Planned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Action is required through an approved plan and owner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Routine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Address through normal engineering or assurance activity</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None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No follow-up action is required</w:t>
            </w:r>
          </w:p>
        </w:tc>
      </w:tr>
    </w:tbl>
    <w:p>
      <w:pPr>
        <w:spacing w:after="20"/>
      </w:pPr>
    </w:p>
    <w:p>
      <w:r>
        <w:rPr>
          <w:rFonts w:ascii="Calibri" w:hAnsi="Calibri"/>
          <w:sz w:val="22"/>
        </w:rPr>
        <w:t xml:space="preserve">A </w:t>
      </w:r>
      <w:r>
        <w:rPr>
          <w:rFonts w:ascii="Courier New" w:hAnsi="Courier New"/>
          <w:color w:val="1F4D78"/>
          <w:sz w:val="20"/>
        </w:rPr>
        <w:t>Does Not Meet</w:t>
      </w:r>
      <w:r>
        <w:rPr>
          <w:rFonts w:ascii="Calibri" w:hAnsi="Calibri"/>
          <w:sz w:val="22"/>
        </w:rPr>
        <w:t xml:space="preserve"> conclusion normally requires </w:t>
      </w:r>
      <w:r>
        <w:rPr>
          <w:rFonts w:ascii="Courier New" w:hAnsi="Courier New"/>
          <w:color w:val="1F4D78"/>
          <w:sz w:val="20"/>
        </w:rPr>
        <w:t>Remediate</w:t>
      </w:r>
      <w:r>
        <w:rPr>
          <w:rFonts w:ascii="Calibri" w:hAnsi="Calibri"/>
          <w:sz w:val="22"/>
        </w:rPr>
        <w:t xml:space="preserve"> or </w:t>
      </w:r>
      <w:r>
        <w:rPr>
          <w:rFonts w:ascii="Courier New" w:hAnsi="Courier New"/>
          <w:color w:val="1F4D78"/>
          <w:sz w:val="20"/>
        </w:rPr>
        <w:t>Retest</w:t>
      </w:r>
      <w:r>
        <w:rPr>
          <w:rFonts w:ascii="Calibri" w:hAnsi="Calibri"/>
          <w:sz w:val="22"/>
        </w:rPr>
        <w:t xml:space="preserve">. An </w:t>
      </w:r>
      <w:r>
        <w:rPr>
          <w:rFonts w:ascii="Courier New" w:hAnsi="Courier New"/>
          <w:color w:val="1F4D78"/>
          <w:sz w:val="20"/>
        </w:rPr>
        <w:t>Inconclusive</w:t>
      </w:r>
      <w:r>
        <w:rPr>
          <w:rFonts w:ascii="Calibri" w:hAnsi="Calibri"/>
          <w:sz w:val="22"/>
        </w:rPr>
        <w:t xml:space="preserve"> conclusion normally requires </w:t>
      </w:r>
      <w:r>
        <w:rPr>
          <w:rFonts w:ascii="Courier New" w:hAnsi="Courier New"/>
          <w:color w:val="1F4D78"/>
          <w:sz w:val="20"/>
        </w:rPr>
        <w:t>Extend Investigation</w:t>
      </w:r>
      <w:r>
        <w:rPr>
          <w:rFonts w:ascii="Calibri" w:hAnsi="Calibri"/>
          <w:sz w:val="22"/>
        </w:rPr>
        <w:t xml:space="preserve"> or </w:t>
      </w:r>
      <w:r>
        <w:rPr>
          <w:rFonts w:ascii="Courier New" w:hAnsi="Courier New"/>
          <w:color w:val="1F4D78"/>
          <w:sz w:val="20"/>
        </w:rPr>
        <w:t>Retest</w:t>
      </w:r>
      <w:r>
        <w:rPr>
          <w:rFonts w:ascii="Calibri" w:hAnsi="Calibri"/>
          <w:sz w:val="22"/>
        </w:rPr>
        <w:t>. Exceptions MUST include rationale.</w:t>
      </w:r>
    </w:p>
    <w:p>
      <w:pPr>
        <w:pStyle w:val="Heading3"/>
      </w:pPr>
      <w:r>
        <w:rPr>
          <w:rFonts w:ascii="Calibri" w:hAnsi="Calibri"/>
          <w:color w:val="1F4D78"/>
          <w:sz w:val="24"/>
        </w:rPr>
        <w:t>9.4 Optional organizational risk profiles</w:t>
      </w:r>
    </w:p>
    <w:p>
      <w:r>
        <w:rPr>
          <w:rFonts w:ascii="Calibri" w:hAnsi="Calibri"/>
          <w:sz w:val="22"/>
        </w:rPr>
        <w:t>Mission owners may need inherent risk, residual risk, likelihood, consequence, or treatment acceptance records. FARI permits these as optional profiles when their definitions and decision authority are declared.</w:t>
      </w:r>
    </w:p>
    <w:p>
      <w:r>
        <w:rPr>
          <w:rFonts w:ascii="Calibri" w:hAnsi="Calibri"/>
          <w:sz w:val="22"/>
        </w:rPr>
        <w:t>An optional risk method MUST NOT:</w:t>
      </w:r>
    </w:p>
    <w:p>
      <w:pPr>
        <w:pStyle w:val="ListBullet"/>
      </w:pPr>
      <w:r>
        <w:rPr>
          <w:rFonts w:ascii="Calibri" w:hAnsi="Calibri"/>
          <w:sz w:val="22"/>
        </w:rPr>
        <w:t>Replace or obscure the FARI Conclusion.</w:t>
      </w:r>
    </w:p>
    <w:p>
      <w:pPr>
        <w:pStyle w:val="ListBullet"/>
      </w:pPr>
      <w:r>
        <w:rPr>
          <w:rFonts w:ascii="Calibri" w:hAnsi="Calibri"/>
          <w:sz w:val="22"/>
        </w:rPr>
        <w:t>Convert missing evidence into a low-risk result.</w:t>
      </w:r>
    </w:p>
    <w:p>
      <w:pPr>
        <w:pStyle w:val="ListBullet"/>
      </w:pPr>
      <w:r>
        <w:rPr>
          <w:rFonts w:ascii="Calibri" w:hAnsi="Calibri"/>
          <w:sz w:val="22"/>
        </w:rPr>
        <w:t>Present an unverified remediation as effective.</w:t>
      </w:r>
    </w:p>
    <w:p>
      <w:pPr>
        <w:pStyle w:val="ListBullet"/>
      </w:pPr>
      <w:r>
        <w:rPr>
          <w:rFonts w:ascii="Calibri" w:hAnsi="Calibri"/>
          <w:sz w:val="22"/>
        </w:rPr>
        <w:t>Aggregate multiple investigations into an average security score.</w:t>
      </w:r>
    </w:p>
    <w:p>
      <w:pPr>
        <w:pStyle w:val="Heading3"/>
      </w:pPr>
      <w:r>
        <w:rPr>
          <w:rFonts w:ascii="Calibri" w:hAnsi="Calibri"/>
          <w:color w:val="1F4D78"/>
          <w:sz w:val="24"/>
        </w:rPr>
        <w:t>9.5 Evidence confidence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Confidence</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Meaning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High</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Direct, reproducible evidence in a representative environment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Medium</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Direct evidence with material limitations, or multiple consistent indirect sources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Low</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Limited, indirect, incomplete, or weakly representative evidence</w:t>
            </w:r>
          </w:p>
        </w:tc>
      </w:tr>
    </w:tbl>
    <w:p>
      <w:pPr>
        <w:spacing w:after="20"/>
      </w:pPr>
    </w:p>
    <w:p>
      <w:r>
        <w:rPr>
          <w:rFonts w:ascii="Calibri" w:hAnsi="Calibri"/>
          <w:sz w:val="22"/>
        </w:rPr>
        <w:t xml:space="preserve">Low confidence does not change a </w:t>
      </w:r>
      <w:r>
        <w:rPr>
          <w:rFonts w:ascii="Courier New" w:hAnsi="Courier New"/>
          <w:color w:val="1F4D78"/>
          <w:sz w:val="20"/>
        </w:rPr>
        <w:t>Does Not Meet</w:t>
      </w:r>
      <w:r>
        <w:rPr>
          <w:rFonts w:ascii="Calibri" w:hAnsi="Calibri"/>
          <w:sz w:val="22"/>
        </w:rPr>
        <w:t xml:space="preserve"> conclusion into </w:t>
      </w:r>
      <w:r>
        <w:rPr>
          <w:rFonts w:ascii="Courier New" w:hAnsi="Courier New"/>
          <w:color w:val="1F4D78"/>
          <w:sz w:val="20"/>
        </w:rPr>
        <w:t>Inconclusive</w:t>
      </w:r>
      <w:r>
        <w:rPr>
          <w:rFonts w:ascii="Calibri" w:hAnsi="Calibri"/>
          <w:sz w:val="22"/>
        </w:rPr>
        <w:t xml:space="preserve"> when the declared claim failure is directly demonstrated. It limits the scope of that conclusion. Conversely, a credible but unobserved scenario normally remains </w:t>
      </w:r>
      <w:r>
        <w:rPr>
          <w:rFonts w:ascii="Courier New" w:hAnsi="Courier New"/>
          <w:color w:val="1F4D78"/>
          <w:sz w:val="20"/>
        </w:rPr>
        <w:t>Inconclusive</w:t>
      </w:r>
      <w:r>
        <w:rPr>
          <w:rFonts w:ascii="Calibri" w:hAnsi="Calibri"/>
          <w:sz w:val="22"/>
        </w:rPr>
        <w:t>.</w:t>
      </w:r>
    </w:p>
    <w:p>
      <w:pPr>
        <w:pStyle w:val="Heading2"/>
      </w:pPr>
      <w:r>
        <w:rPr>
          <w:rFonts w:ascii="Calibri" w:hAnsi="Calibri"/>
          <w:color w:val="2E74B5"/>
          <w:sz w:val="26"/>
        </w:rPr>
        <w:t>10. Coverage and Assurance</w:t>
      </w:r>
    </w:p>
    <w:p>
      <w:r>
        <w:rPr>
          <w:rFonts w:ascii="Calibri" w:hAnsi="Calibri"/>
          <w:sz w:val="22"/>
        </w:rPr>
        <w:t>Coverage describes what the assessment actually touched. It is not the percentage of techniques checked.</w:t>
      </w:r>
    </w:p>
    <w:p>
      <w:r>
        <w:rPr>
          <w:rFonts w:ascii="Calibri" w:hAnsi="Calibri"/>
          <w:sz w:val="22"/>
        </w:rPr>
        <w:t>Each asset or claim is assigned one coverage state: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Meaning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Behavior was exercised and evidence captured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Reviewed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Design, source, configuration, or documentation was examined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Inferred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Conclusion depends on related evidence or assumptions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No assessment evidence supports a conclusion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Out of scope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Explicitly excluded</w:t>
            </w:r>
          </w:p>
        </w:tc>
      </w:tr>
    </w:tbl>
    <w:p>
      <w:pPr>
        <w:spacing w:after="20"/>
      </w:pPr>
    </w:p>
    <w:p>
      <w:r>
        <w:rPr>
          <w:rFonts w:ascii="Calibri" w:hAnsi="Calibri"/>
          <w:sz w:val="22"/>
        </w:rPr>
        <w:t>An assurance statement combines claim, FARI Conclusion, coverage, confidence, and limitations: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 xml:space="preserve">Claim CLM-004 </w:t>
            </w:r>
            <w:r>
              <w:rPr>
                <w:rFonts w:ascii="Calibri" w:hAnsi="Calibri"/>
                <w:b/>
                <w:color w:val="0B2545"/>
                <w:sz w:val="21"/>
              </w:rPr>
              <w:t>Does Not Meet</w:t>
            </w:r>
            <w:r>
              <w:rPr>
                <w:rFonts w:ascii="Calibri" w:hAnsi="Calibri"/>
                <w:color w:val="0B2545"/>
                <w:sz w:val="21"/>
              </w:rPr>
              <w:t xml:space="preserve"> its acceptance criteria with </w:t>
            </w:r>
            <w:r>
              <w:rPr>
                <w:rFonts w:ascii="Calibri" w:hAnsi="Calibri"/>
                <w:b/>
                <w:color w:val="0B2545"/>
                <w:sz w:val="21"/>
              </w:rPr>
              <w:t>medium confidence</w:t>
            </w:r>
            <w:r>
              <w:rPr>
                <w:rFonts w:ascii="Calibri" w:hAnsi="Calibri"/>
                <w:color w:val="0B2545"/>
                <w:sz w:val="21"/>
              </w:rPr>
              <w:t xml:space="preserve"> in the tested QEMU environment. Hardware timing, physical interfaces, and on-orbit RF behavior were not assessed.</w:t>
            </w:r>
          </w:p>
        </w:tc>
      </w:tr>
    </w:tbl>
    <w:p>
      <w:pPr>
        <w:spacing w:after="20"/>
      </w:pPr>
    </w:p>
    <w:p>
      <w:pPr>
        <w:pStyle w:val="Heading2"/>
      </w:pPr>
      <w:r>
        <w:rPr>
          <w:rFonts w:ascii="Calibri" w:hAnsi="Calibri"/>
          <w:color w:val="2E74B5"/>
          <w:sz w:val="26"/>
        </w:rPr>
        <w:t>11. Required FARI Records</w:t>
      </w:r>
    </w:p>
    <w:p>
      <w:r>
        <w:rPr>
          <w:rFonts w:ascii="Calibri" w:hAnsi="Calibri"/>
          <w:sz w:val="22"/>
        </w:rPr>
        <w:t>A conforming FARI assessment MUST contain:</w:t>
      </w:r>
    </w:p>
    <w:p>
      <w:pPr>
        <w:spacing w:after="80" w:line="300" w:lineRule="auto"/>
        <w:numPr>
          <w:ilvl w:val="0"/>
          <w:numId w:val="15"/>
        </w:numPr>
      </w:pPr>
      <w:r>
        <w:rPr>
          <w:rFonts w:ascii="Calibri" w:hAnsi="Calibri"/>
          <w:sz w:val="22"/>
        </w:rPr>
        <w:t>Assessment record.</w:t>
      </w:r>
    </w:p>
    <w:p>
      <w:pPr>
        <w:spacing w:after="80" w:line="300" w:lineRule="auto"/>
        <w:numPr>
          <w:ilvl w:val="0"/>
          <w:numId w:val="15"/>
        </w:numPr>
      </w:pPr>
      <w:r>
        <w:rPr>
          <w:rFonts w:ascii="Calibri" w:hAnsi="Calibri"/>
          <w:sz w:val="22"/>
        </w:rPr>
        <w:t>Mission-context record.</w:t>
      </w:r>
    </w:p>
    <w:p>
      <w:pPr>
        <w:spacing w:after="80" w:line="300" w:lineRule="auto"/>
        <w:numPr>
          <w:ilvl w:val="0"/>
          <w:numId w:val="15"/>
        </w:numPr>
      </w:pPr>
      <w:r>
        <w:rPr>
          <w:rFonts w:ascii="Calibri" w:hAnsi="Calibri"/>
          <w:sz w:val="22"/>
        </w:rPr>
        <w:t>Scoped asset records and relationships.</w:t>
      </w:r>
    </w:p>
    <w:p>
      <w:pPr>
        <w:spacing w:after="80" w:line="300" w:lineRule="auto"/>
        <w:numPr>
          <w:ilvl w:val="0"/>
          <w:numId w:val="15"/>
        </w:numPr>
      </w:pPr>
      <w:r>
        <w:rPr>
          <w:rFonts w:ascii="Calibri" w:hAnsi="Calibri"/>
          <w:sz w:val="22"/>
        </w:rPr>
        <w:t>Authorization and rules-of-engagement record.</w:t>
      </w:r>
    </w:p>
    <w:p>
      <w:pPr>
        <w:spacing w:after="80" w:line="300" w:lineRule="auto"/>
        <w:numPr>
          <w:ilvl w:val="0"/>
          <w:numId w:val="15"/>
        </w:numPr>
      </w:pPr>
      <w:r>
        <w:rPr>
          <w:rFonts w:ascii="Calibri" w:hAnsi="Calibri"/>
          <w:sz w:val="22"/>
        </w:rPr>
        <w:t>Assessment claims.</w:t>
      </w:r>
    </w:p>
    <w:p>
      <w:pPr>
        <w:spacing w:after="80" w:line="300" w:lineRule="auto"/>
        <w:numPr>
          <w:ilvl w:val="0"/>
          <w:numId w:val="15"/>
        </w:numPr>
      </w:pPr>
      <w:r>
        <w:rPr>
          <w:rFonts w:ascii="Calibri" w:hAnsi="Calibri"/>
          <w:sz w:val="22"/>
        </w:rPr>
        <w:t>Source-material records and report-author-normalized method-run records.</w:t>
      </w:r>
    </w:p>
    <w:p>
      <w:pPr>
        <w:spacing w:after="80" w:line="300" w:lineRule="auto"/>
        <w:numPr>
          <w:ilvl w:val="0"/>
          <w:numId w:val="15"/>
        </w:numPr>
      </w:pPr>
      <w:r>
        <w:rPr>
          <w:rFonts w:ascii="Calibri" w:hAnsi="Calibri"/>
          <w:sz w:val="22"/>
        </w:rPr>
        <w:t>Evidence records created from the supplied source material.</w:t>
      </w:r>
    </w:p>
    <w:p>
      <w:pPr>
        <w:spacing w:after="80" w:line="300" w:lineRule="auto"/>
        <w:numPr>
          <w:ilvl w:val="0"/>
          <w:numId w:val="15"/>
        </w:numPr>
      </w:pPr>
      <w:r>
        <w:rPr>
          <w:rFonts w:ascii="Calibri" w:hAnsi="Calibri"/>
          <w:sz w:val="22"/>
        </w:rPr>
        <w:t>Evidence-intake review, including gaps, assumptions, and contradictions.</w:t>
      </w:r>
    </w:p>
    <w:p>
      <w:pPr>
        <w:spacing w:after="80" w:line="300" w:lineRule="auto"/>
        <w:numPr>
          <w:ilvl w:val="0"/>
          <w:numId w:val="15"/>
        </w:numPr>
      </w:pPr>
      <w:r>
        <w:rPr>
          <w:rFonts w:ascii="Calibri" w:hAnsi="Calibri"/>
          <w:sz w:val="22"/>
        </w:rPr>
        <w:t>Findings and observations.</w:t>
      </w:r>
    </w:p>
    <w:p>
      <w:pPr>
        <w:spacing w:after="80" w:line="300" w:lineRule="auto"/>
        <w:numPr>
          <w:ilvl w:val="0"/>
          <w:numId w:val="15"/>
        </w:numPr>
      </w:pPr>
      <w:r>
        <w:rPr>
          <w:rFonts w:ascii="Calibri" w:hAnsi="Calibri"/>
          <w:sz w:val="22"/>
        </w:rPr>
        <w:t>SPARTA applicability and mapping records.</w:t>
      </w:r>
    </w:p>
    <w:p>
      <w:pPr>
        <w:spacing w:after="80" w:line="300" w:lineRule="auto"/>
        <w:numPr>
          <w:ilvl w:val="0"/>
          <w:numId w:val="15"/>
        </w:numPr>
      </w:pPr>
      <w:r>
        <w:rPr>
          <w:rFonts w:ascii="Calibri" w:hAnsi="Calibri"/>
          <w:sz w:val="22"/>
        </w:rPr>
        <w:t>FARI Result Cards and optional risk-profile records.</w:t>
      </w:r>
    </w:p>
    <w:p>
      <w:pPr>
        <w:spacing w:after="80" w:line="300" w:lineRule="auto"/>
        <w:numPr>
          <w:ilvl w:val="0"/>
          <w:numId w:val="15"/>
        </w:numPr>
      </w:pPr>
      <w:r>
        <w:rPr>
          <w:rFonts w:ascii="Calibri" w:hAnsi="Calibri"/>
          <w:sz w:val="22"/>
        </w:rPr>
        <w:t>Coverage record.</w:t>
      </w:r>
    </w:p>
    <w:p>
      <w:pPr>
        <w:spacing w:after="80" w:line="300" w:lineRule="auto"/>
        <w:numPr>
          <w:ilvl w:val="0"/>
          <w:numId w:val="15"/>
        </w:numPr>
      </w:pPr>
      <w:r>
        <w:rPr>
          <w:rFonts w:ascii="Calibri" w:hAnsi="Calibri"/>
          <w:sz w:val="22"/>
        </w:rPr>
        <w:t>Remediation and acceptance criteria.</w:t>
      </w:r>
    </w:p>
    <w:p>
      <w:pPr>
        <w:spacing w:after="80" w:line="300" w:lineRule="auto"/>
        <w:numPr>
          <w:ilvl w:val="0"/>
          <w:numId w:val="15"/>
        </w:numPr>
      </w:pPr>
      <w:r>
        <w:rPr>
          <w:rFonts w:ascii="Calibri" w:hAnsi="Calibri"/>
          <w:sz w:val="22"/>
        </w:rPr>
        <w:t>Individual investigation reports and, when applicable, one consolidated assessment report.</w:t>
      </w:r>
    </w:p>
    <w:p>
      <w:pPr>
        <w:spacing w:after="80" w:line="300" w:lineRule="auto"/>
        <w:numPr>
          <w:ilvl w:val="0"/>
          <w:numId w:val="15"/>
        </w:numPr>
      </w:pPr>
      <w:r>
        <w:rPr>
          <w:rFonts w:ascii="Calibri" w:hAnsi="Calibri"/>
          <w:sz w:val="22"/>
        </w:rPr>
        <w:t>Assurance statement.</w:t>
      </w:r>
    </w:p>
    <w:p>
      <w:r>
        <w:rPr>
          <w:rFonts w:ascii="Calibri" w:hAnsi="Calibri"/>
          <w:sz w:val="22"/>
        </w:rPr>
        <w:t>See FARI-DATA-MODEL.md (FARI-DATA-MODEL.md).</w:t>
      </w:r>
    </w:p>
    <w:p>
      <w:pPr>
        <w:pStyle w:val="Heading2"/>
      </w:pPr>
      <w:r>
        <w:rPr>
          <w:rFonts w:ascii="Calibri" w:hAnsi="Calibri"/>
          <w:color w:val="2E74B5"/>
          <w:sz w:val="26"/>
        </w:rPr>
        <w:t>12. Conformance</w:t>
      </w:r>
    </w:p>
    <w:p>
      <w:r>
        <w:rPr>
          <w:rFonts w:ascii="Calibri" w:hAnsi="Calibri"/>
          <w:sz w:val="22"/>
        </w:rPr>
        <w:t xml:space="preserve">An assessment may be described as </w:t>
      </w:r>
      <w:r>
        <w:rPr>
          <w:rFonts w:ascii="Calibri" w:hAnsi="Calibri"/>
          <w:b/>
          <w:sz w:val="22"/>
        </w:rPr>
        <w:t>FARI-conformant</w:t>
      </w:r>
      <w:r>
        <w:rPr>
          <w:rFonts w:ascii="Calibri" w:hAnsi="Calibri"/>
          <w:sz w:val="22"/>
        </w:rPr>
        <w:t xml:space="preserve"> only when:</w:t>
      </w:r>
    </w:p>
    <w:p>
      <w:pPr>
        <w:pStyle w:val="ListBullet"/>
      </w:pPr>
      <w:r>
        <w:rPr>
          <w:rFonts w:ascii="Calibri" w:hAnsi="Calibri"/>
          <w:sz w:val="22"/>
        </w:rPr>
        <w:t>Required records exist and use stable identifiers.</w:t>
      </w:r>
    </w:p>
    <w:p>
      <w:pPr>
        <w:pStyle w:val="ListBullet"/>
      </w:pPr>
      <w:r>
        <w:rPr>
          <w:rFonts w:ascii="Calibri" w:hAnsi="Calibri"/>
          <w:sz w:val="22"/>
        </w:rPr>
        <w:t>Findings trace to method runs and evidence.</w:t>
      </w:r>
    </w:p>
    <w:p>
      <w:pPr>
        <w:pStyle w:val="ListBullet"/>
      </w:pPr>
      <w:r>
        <w:rPr>
          <w:rFonts w:ascii="Calibri" w:hAnsi="Calibri"/>
          <w:sz w:val="22"/>
        </w:rPr>
        <w:t>Evidence-backed facts, assertions, inferences, assumptions, and missing information are distinguishable.</w:t>
      </w:r>
    </w:p>
    <w:p>
      <w:pPr>
        <w:pStyle w:val="ListBullet"/>
      </w:pPr>
      <w:r>
        <w:rPr>
          <w:rFonts w:ascii="Calibri" w:hAnsi="Calibri"/>
          <w:sz w:val="22"/>
        </w:rPr>
        <w:t>Every investigation has a FARI Conclusion, confidence, required action, scope boundary, and rationale.</w:t>
      </w:r>
    </w:p>
    <w:p>
      <w:pPr>
        <w:pStyle w:val="ListBullet"/>
      </w:pPr>
      <w:r>
        <w:rPr>
          <w:rFonts w:ascii="Calibri" w:hAnsi="Calibri"/>
          <w:sz w:val="22"/>
        </w:rPr>
        <w:t>A multi-investigation assessment has one consolidated report and an explicit aggregation rule.</w:t>
      </w:r>
    </w:p>
    <w:p>
      <w:pPr>
        <w:pStyle w:val="ListBullet"/>
      </w:pPr>
      <w:r>
        <w:rPr>
          <w:rFonts w:ascii="Calibri" w:hAnsi="Calibri"/>
          <w:sz w:val="22"/>
        </w:rPr>
        <w:t>SPARTA is applied according to the integration profile.</w:t>
      </w:r>
    </w:p>
    <w:p>
      <w:pPr>
        <w:pStyle w:val="ListBullet"/>
      </w:pPr>
      <w:r>
        <w:rPr>
          <w:rFonts w:ascii="Calibri" w:hAnsi="Calibri"/>
          <w:sz w:val="22"/>
        </w:rPr>
        <w:t>Scope, limitations, coverage, and confidence are explicit.</w:t>
      </w:r>
    </w:p>
    <w:p>
      <w:pPr>
        <w:pStyle w:val="ListBullet"/>
      </w:pPr>
      <w:r>
        <w:rPr>
          <w:rFonts w:ascii="Calibri" w:hAnsi="Calibri"/>
          <w:sz w:val="22"/>
        </w:rPr>
        <w:t>Executive statements do not exceed the supporting evidence.</w:t>
      </w:r>
    </w:p>
    <w:p>
      <w:r>
        <w:rPr>
          <w:rFonts w:ascii="Calibri" w:hAnsi="Calibri"/>
          <w:sz w:val="22"/>
        </w:rPr>
        <w:t xml:space="preserve">A methodology, tool, or template MAY be described as </w:t>
      </w:r>
      <w:r>
        <w:rPr>
          <w:rFonts w:ascii="Calibri" w:hAnsi="Calibri"/>
          <w:b/>
          <w:sz w:val="22"/>
        </w:rPr>
        <w:t>FARI-compatible</w:t>
      </w:r>
      <w:r>
        <w:rPr>
          <w:rFonts w:ascii="Calibri" w:hAnsi="Calibri"/>
          <w:sz w:val="22"/>
        </w:rPr>
        <w:t xml:space="preserve"> when it can produce or export the required records.</w:t>
      </w:r>
    </w:p>
    <w:p>
      <w:pPr>
        <w:pStyle w:val="Heading2"/>
      </w:pPr>
      <w:r>
        <w:rPr>
          <w:rFonts w:ascii="Calibri" w:hAnsi="Calibri"/>
          <w:color w:val="2E74B5"/>
          <w:sz w:val="26"/>
        </w:rPr>
        <w:t>13. Progressive Use</w:t>
      </w:r>
    </w:p>
    <w:p>
      <w:r>
        <w:rPr>
          <w:rFonts w:ascii="Calibri" w:hAnsi="Calibri"/>
          <w:sz w:val="22"/>
        </w:rPr>
        <w:t>FARI scales without changing its core model:</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Level</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Typical engagement</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Minimum useful outcome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Basic</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One component, one method, one assessor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Investigation report with a FARI Result Card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Intermediate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One subsystem, multiple methods or environments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Consolidated conclusion, connected findings, and action plan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Advanced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Multi-segment, multi-team mission assessment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Mission-wide consolidated report, coverage map, executive decisions, and assurance case</w:t>
            </w:r>
          </w:p>
        </w:tc>
      </w:tr>
    </w:tbl>
    <w:p>
      <w:pPr>
        <w:spacing w:after="20"/>
      </w:pPr>
    </w:p>
    <w:p>
      <w:r>
        <w:rPr>
          <w:rFonts w:ascii="Calibri" w:hAnsi="Calibri"/>
          <w:sz w:val="22"/>
        </w:rPr>
        <w:t>For manual use, the minimum practical workflow is:</w:t>
      </w:r>
    </w:p>
    <w:p>
      <w:pPr>
        <w:spacing w:after="80" w:line="300" w:lineRule="auto"/>
        <w:numPr>
          <w:ilvl w:val="0"/>
          <w:numId w:val="16"/>
        </w:numPr>
      </w:pPr>
      <w:r>
        <w:rPr>
          <w:rFonts w:ascii="Calibri" w:hAnsi="Calibri"/>
          <w:sz w:val="22"/>
        </w:rPr>
        <w:t>Register each supplied item as source material.</w:t>
      </w:r>
    </w:p>
    <w:p>
      <w:pPr>
        <w:spacing w:after="80" w:line="300" w:lineRule="auto"/>
        <w:numPr>
          <w:ilvl w:val="0"/>
          <w:numId w:val="16"/>
        </w:numPr>
      </w:pPr>
      <w:r>
        <w:rPr>
          <w:rFonts w:ascii="Calibri" w:hAnsi="Calibri"/>
          <w:sz w:val="22"/>
        </w:rPr>
        <w:t>Create one investigation record for the claim being evaluated.</w:t>
      </w:r>
    </w:p>
    <w:p>
      <w:pPr>
        <w:spacing w:after="80" w:line="300" w:lineRule="auto"/>
        <w:numPr>
          <w:ilvl w:val="0"/>
          <w:numId w:val="16"/>
        </w:numPr>
      </w:pPr>
      <w:r>
        <w:rPr>
          <w:rFonts w:ascii="Calibri" w:hAnsi="Calibri"/>
          <w:sz w:val="22"/>
        </w:rPr>
        <w:t>Complete the internal source-material intake review.</w:t>
      </w:r>
    </w:p>
    <w:p>
      <w:pPr>
        <w:spacing w:after="80" w:line="300" w:lineRule="auto"/>
        <w:numPr>
          <w:ilvl w:val="0"/>
          <w:numId w:val="16"/>
        </w:numPr>
      </w:pPr>
      <w:r>
        <w:rPr>
          <w:rFonts w:ascii="Calibri" w:hAnsi="Calibri"/>
          <w:sz w:val="22"/>
        </w:rPr>
        <w:t>Write the investigation report and FARI Result Card.</w:t>
      </w:r>
    </w:p>
    <w:p>
      <w:pPr>
        <w:spacing w:after="80" w:line="300" w:lineRule="auto"/>
        <w:numPr>
          <w:ilvl w:val="0"/>
          <w:numId w:val="16"/>
        </w:numPr>
      </w:pPr>
      <w:r>
        <w:rPr>
          <w:rFonts w:ascii="Calibri" w:hAnsi="Calibri"/>
          <w:sz w:val="22"/>
        </w:rPr>
        <w:t>Add its result as one row in the consolidated assessment report.</w:t>
      </w:r>
    </w:p>
    <w:p>
      <w:r>
        <w:rPr>
          <w:rFonts w:ascii="Calibri" w:hAnsi="Calibri"/>
          <w:sz w:val="22"/>
        </w:rPr>
        <w:t xml:space="preserve">A technical auditor MAY use </w:t>
      </w:r>
      <w:r>
        <w:rPr>
          <w:rFonts w:ascii="Courier New" w:hAnsi="Courier New"/>
          <w:color w:val="1F4D78"/>
          <w:sz w:val="20"/>
        </w:rPr>
        <w:t>templates/optional-technical-finding-submission.md</w:t>
      </w:r>
      <w:r>
        <w:rPr>
          <w:rFonts w:ascii="Calibri" w:hAnsi="Calibri"/>
          <w:sz w:val="22"/>
        </w:rPr>
        <w:t xml:space="preserve"> (../templates/optional-technical-finding-submission.md) to make source material easier to ingest. The Report Author remains responsible for every FARI-specific decision and record.</w:t>
      </w:r>
    </w:p>
    <w:p>
      <w:r>
        <w:rPr>
          <w:rFonts w:ascii="Calibri" w:hAnsi="Calibri"/>
          <w:sz w:val="22"/>
        </w:rPr>
        <w:t>A future web application MUST implement the same records and decisions as a guided workflow. It may automate validation and report generation, but it must not create a different methodology or require external auditors to use FARI. See FARI Web Application Requirements (FARI-WEB-APPLICATION-REQUIREMENTS.md).</w:t>
      </w:r>
    </w:p>
    <w:p>
      <w:r>
        <w:rPr>
          <w:rFonts w:ascii="Calibri" w:hAnsi="Calibri"/>
          <w:sz w:val="22"/>
        </w:rPr>
        <w:t>See the examples (../examples/) for complete walkthroughs.</w:t>
      </w:r>
    </w:p>
    <w:p>
      <w:pPr>
        <w:pStyle w:val="Heading2"/>
      </w:pPr>
      <w:r>
        <w:rPr>
          <w:rFonts w:ascii="Calibri" w:hAnsi="Calibri"/>
          <w:color w:val="2E74B5"/>
          <w:sz w:val="26"/>
        </w:rPr>
        <w:t>14. References</w:t>
      </w:r>
    </w:p>
    <w:p>
      <w:pPr>
        <w:pStyle w:val="ListBullet"/>
      </w:pPr>
      <w:r>
        <w:rPr>
          <w:rFonts w:ascii="Calibri" w:hAnsi="Calibri"/>
          <w:sz w:val="22"/>
        </w:rPr>
        <w:t>The Aerospace Corporation: SPARTA (https://aerospace.org/sparta)</w:t>
      </w:r>
    </w:p>
    <w:p>
      <w:pPr>
        <w:pStyle w:val="ListBullet"/>
      </w:pPr>
      <w:r>
        <w:rPr>
          <w:rFonts w:ascii="Calibri" w:hAnsi="Calibri"/>
          <w:sz w:val="22"/>
        </w:rPr>
        <w:t>SPARTA User Guide (https://sparta.aerospace.org/resources/user-guide)</w:t>
      </w:r>
    </w:p>
    <w:p>
      <w:pPr>
        <w:pStyle w:val="ListBullet"/>
      </w:pPr>
      <w:r>
        <w:rPr>
          <w:rFonts w:ascii="Calibri" w:hAnsi="Calibri"/>
          <w:sz w:val="22"/>
        </w:rPr>
        <w:t>NISTIR 8401: Satellite Ground Segment - Applying the Cybersecurity Framework to Satellite Command and Control (https://doi.org/10.6028/NIST.IR.8401)</w:t>
      </w:r>
    </w:p>
    <w:p>
      <w:pPr>
        <w:pStyle w:val="ListBullet"/>
      </w:pPr>
      <w:r>
        <w:rPr>
          <w:rFonts w:ascii="Calibri" w:hAnsi="Calibri"/>
          <w:sz w:val="22"/>
        </w:rPr>
        <w:t>NISTIR 8270: Introduction to Cybersecurity for Commercial Satellite Operations (https://doi.org/10.6028/NIST.IR.8270)</w:t>
      </w:r>
    </w:p>
    <w:p>
      <w:pPr>
        <w:pStyle w:val="ListBullet"/>
      </w:pPr>
      <w:r>
        <w:rPr>
          <w:rFonts w:ascii="Calibri" w:hAnsi="Calibri"/>
          <w:sz w:val="22"/>
        </w:rPr>
        <w:t>MITRE ATT&amp;CK (https://attack.mitre.org/)</w:t>
      </w:r>
    </w:p>
    <w:p>
      <w:r>
        <w:br w:type="page"/>
      </w:r>
    </w:p>
    <w:p>
      <w:pPr>
        <w:pStyle w:val="Heading1"/>
      </w:pPr>
      <w:r>
        <w:rPr>
          <w:rFonts w:ascii="Calibri" w:hAnsi="Calibri"/>
          <w:color w:val="2E74B5"/>
          <w:sz w:val="32"/>
        </w:rPr>
        <w:t>Appendix A: SPARTA Integration Profile</w:t>
      </w:r>
    </w:p>
    <w:p>
      <w:pPr>
        <w:pStyle w:val="Heading2"/>
      </w:pPr>
      <w:r>
        <w:rPr>
          <w:rFonts w:ascii="Calibri" w:hAnsi="Calibri"/>
          <w:color w:val="2E74B5"/>
          <w:sz w:val="26"/>
        </w:rPr>
        <w:t>1. Purpose</w:t>
      </w:r>
    </w:p>
    <w:p>
      <w:r>
        <w:rPr>
          <w:rFonts w:ascii="Calibri" w:hAnsi="Calibri"/>
          <w:sz w:val="22"/>
        </w:rPr>
        <w:t>SPARTA is the required FARI threat-language profile for behavior that affects, targets, enables access to, or creates consequences for spacecraft and space missions.</w:t>
      </w:r>
    </w:p>
    <w:p>
      <w:r>
        <w:rPr>
          <w:rFonts w:ascii="Calibri" w:hAnsi="Calibri"/>
          <w:sz w:val="22"/>
        </w:rPr>
        <w:t>SPARTA is maintained by The Aerospace Corporation. FARI uses SPARTA; it does not duplicate, rename, or claim ownership of SPARTA content.</w:t>
      </w:r>
    </w:p>
    <w:p>
      <w:pPr>
        <w:pStyle w:val="Heading2"/>
      </w:pPr>
      <w:r>
        <w:rPr>
          <w:rFonts w:ascii="Calibri" w:hAnsi="Calibri"/>
          <w:color w:val="2E74B5"/>
          <w:sz w:val="26"/>
        </w:rPr>
        <w:t>2. Why SPARTA Is Essential</w:t>
      </w:r>
    </w:p>
    <w:p>
      <w:r>
        <w:rPr>
          <w:rFonts w:ascii="Calibri" w:hAnsi="Calibri"/>
          <w:sz w:val="22"/>
        </w:rPr>
        <w:t>SPARTA gives separate assessment teams a shared way to describe:</w:t>
      </w:r>
    </w:p>
    <w:p>
      <w:pPr>
        <w:pStyle w:val="ListBullet"/>
      </w:pPr>
      <w:r>
        <w:rPr>
          <w:rFonts w:ascii="Calibri" w:hAnsi="Calibri"/>
          <w:sz w:val="22"/>
        </w:rPr>
        <w:t>Adversary goals and behavior.</w:t>
      </w:r>
    </w:p>
    <w:p>
      <w:pPr>
        <w:pStyle w:val="ListBullet"/>
      </w:pPr>
      <w:r>
        <w:rPr>
          <w:rFonts w:ascii="Calibri" w:hAnsi="Calibri"/>
          <w:sz w:val="22"/>
        </w:rPr>
        <w:t>Spacecraft-relevant attack paths.</w:t>
      </w:r>
    </w:p>
    <w:p>
      <w:pPr>
        <w:pStyle w:val="ListBullet"/>
      </w:pPr>
      <w:r>
        <w:rPr>
          <w:rFonts w:ascii="Calibri" w:hAnsi="Calibri"/>
          <w:sz w:val="22"/>
        </w:rPr>
        <w:t>Applicable countermeasures.</w:t>
      </w:r>
    </w:p>
    <w:p>
      <w:pPr>
        <w:pStyle w:val="ListBullet"/>
      </w:pPr>
      <w:r>
        <w:rPr>
          <w:rFonts w:ascii="Calibri" w:hAnsi="Calibri"/>
          <w:sz w:val="22"/>
        </w:rPr>
        <w:t>Threat-informed requirements.</w:t>
      </w:r>
    </w:p>
    <w:p>
      <w:pPr>
        <w:pStyle w:val="ListBullet"/>
      </w:pPr>
      <w:r>
        <w:rPr>
          <w:rFonts w:ascii="Calibri" w:hAnsi="Calibri"/>
          <w:sz w:val="22"/>
        </w:rPr>
        <w:t>Notional risk context.</w:t>
      </w:r>
    </w:p>
    <w:p>
      <w:r>
        <w:rPr>
          <w:rFonts w:ascii="Calibri" w:hAnsi="Calibri"/>
          <w:sz w:val="22"/>
        </w:rPr>
        <w:t>FARI adds the engagement-specific evidence, mission context, coverage, confidence, qualitative conclusion, optional risk profiles, and executive decision layer.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2"/>
      </w:pPr>
      <w:r>
        <w:rPr>
          <w:rFonts w:ascii="Calibri" w:hAnsi="Calibri"/>
          <w:color w:val="2E74B5"/>
          <w:sz w:val="26"/>
        </w:rPr>
        <w:t>3. Mandatory Rules</w:t>
      </w:r>
    </w:p>
    <w:p>
      <w:r>
        <w:rPr>
          <w:rFonts w:ascii="Calibri" w:hAnsi="Calibri"/>
          <w:sz w:val="22"/>
        </w:rPr>
        <w:t>Every FARI assessment MUST:</w:t>
      </w:r>
    </w:p>
    <w:p>
      <w:pPr>
        <w:spacing w:after="80" w:line="300" w:lineRule="auto"/>
        <w:numPr>
          <w:ilvl w:val="0"/>
          <w:numId w:val="17"/>
        </w:numPr>
      </w:pPr>
      <w:r>
        <w:rPr>
          <w:rFonts w:ascii="Calibri" w:hAnsi="Calibri"/>
          <w:sz w:val="22"/>
        </w:rPr>
        <w:t>Declare the SPARTA version or the date on which the live matrix was consulted.</w:t>
      </w:r>
    </w:p>
    <w:p>
      <w:pPr>
        <w:spacing w:after="80" w:line="300" w:lineRule="auto"/>
        <w:numPr>
          <w:ilvl w:val="0"/>
          <w:numId w:val="17"/>
        </w:numPr>
      </w:pPr>
      <w:r>
        <w:rPr>
          <w:rFonts w:ascii="Calibri" w:hAnsi="Calibri"/>
          <w:sz w:val="22"/>
        </w:rPr>
        <w:t>Perform an applicability review for scoped spacecraft assets and cross-segment paths that can affect them.</w:t>
      </w:r>
    </w:p>
    <w:p>
      <w:pPr>
        <w:spacing w:after="80" w:line="300" w:lineRule="auto"/>
        <w:numPr>
          <w:ilvl w:val="0"/>
          <w:numId w:val="17"/>
        </w:numPr>
      </w:pPr>
      <w:r>
        <w:rPr>
          <w:rFonts w:ascii="Calibri" w:hAnsi="Calibri"/>
          <w:sz w:val="22"/>
        </w:rPr>
        <w:t>Use exact SPARTA IDs and names from the declared version.</w:t>
      </w:r>
    </w:p>
    <w:p>
      <w:pPr>
        <w:spacing w:after="80" w:line="300" w:lineRule="auto"/>
        <w:numPr>
          <w:ilvl w:val="0"/>
          <w:numId w:val="17"/>
        </w:numPr>
      </w:pPr>
      <w:r>
        <w:rPr>
          <w:rFonts w:ascii="Calibri" w:hAnsi="Calibri"/>
          <w:sz w:val="22"/>
        </w:rPr>
        <w:t xml:space="preserve">Mark mappings as </w:t>
      </w:r>
      <w:r>
        <w:rPr>
          <w:rFonts w:ascii="Courier New" w:hAnsi="Courier New"/>
          <w:color w:val="1F4D78"/>
          <w:sz w:val="20"/>
        </w:rPr>
        <w:t>confirmed</w:t>
      </w:r>
      <w:r>
        <w:rPr>
          <w:rFonts w:ascii="Calibri" w:hAnsi="Calibri"/>
          <w:sz w:val="22"/>
        </w:rPr>
        <w:t xml:space="preserve">, </w:t>
      </w:r>
      <w:r>
        <w:rPr>
          <w:rFonts w:ascii="Courier New" w:hAnsi="Courier New"/>
          <w:color w:val="1F4D78"/>
          <w:sz w:val="20"/>
        </w:rPr>
        <w:t>candidate</w:t>
      </w:r>
      <w:r>
        <w:rPr>
          <w:rFonts w:ascii="Calibri" w:hAnsi="Calibri"/>
          <w:sz w:val="22"/>
        </w:rPr>
        <w:t xml:space="preserve">, or </w:t>
      </w:r>
      <w:r>
        <w:rPr>
          <w:rFonts w:ascii="Courier New" w:hAnsi="Courier New"/>
          <w:color w:val="1F4D78"/>
          <w:sz w:val="20"/>
        </w:rPr>
        <w:t>not_applicable</w:t>
      </w:r>
      <w:r>
        <w:rPr>
          <w:rFonts w:ascii="Calibri" w:hAnsi="Calibri"/>
          <w:sz w:val="22"/>
        </w:rPr>
        <w:t>.</w:t>
      </w:r>
    </w:p>
    <w:p>
      <w:pPr>
        <w:spacing w:after="80" w:line="300" w:lineRule="auto"/>
        <w:numPr>
          <w:ilvl w:val="0"/>
          <w:numId w:val="17"/>
        </w:numPr>
      </w:pPr>
      <w:r>
        <w:rPr>
          <w:rFonts w:ascii="Calibri" w:hAnsi="Calibri"/>
          <w:sz w:val="22"/>
        </w:rPr>
        <w:t>Explain the relationship between the finding and mapped behavior.</w:t>
      </w:r>
    </w:p>
    <w:p>
      <w:pPr>
        <w:spacing w:after="80" w:line="300" w:lineRule="auto"/>
        <w:numPr>
          <w:ilvl w:val="0"/>
          <w:numId w:val="17"/>
        </w:numPr>
      </w:pPr>
      <w:r>
        <w:rPr>
          <w:rFonts w:ascii="Calibri" w:hAnsi="Calibri"/>
          <w:sz w:val="22"/>
        </w:rPr>
        <w:t>Preserve links to applicable SPARTA countermeasures where useful.</w:t>
      </w:r>
    </w:p>
    <w:p>
      <w:pPr>
        <w:spacing w:after="80" w:line="300" w:lineRule="auto"/>
        <w:numPr>
          <w:ilvl w:val="0"/>
          <w:numId w:val="17"/>
        </w:numPr>
      </w:pPr>
      <w:r>
        <w:rPr>
          <w:rFonts w:ascii="Calibri" w:hAnsi="Calibri"/>
          <w:sz w:val="22"/>
        </w:rPr>
        <w:t>Keep SPARTA Notional Risk Scores distinct from the FARI Conclusion and any optional organizational risk profile.</w:t>
      </w:r>
    </w:p>
    <w:p>
      <w:pPr>
        <w:pStyle w:val="Heading2"/>
      </w:pPr>
      <w:r>
        <w:rPr>
          <w:rFonts w:ascii="Calibri" w:hAnsi="Calibri"/>
          <w:color w:val="2E74B5"/>
          <w:sz w:val="26"/>
        </w:rPr>
        <w:t>4. Mapping Quality</w:t>
      </w:r>
    </w:p>
    <w:p>
      <w:r>
        <w:rPr>
          <w:rFonts w:ascii="Calibri" w:hAnsi="Calibri"/>
          <w:sz w:val="22"/>
        </w:rPr>
        <w:t xml:space="preserve">A mapping is </w:t>
      </w:r>
      <w:r>
        <w:rPr>
          <w:rFonts w:ascii="Calibri" w:hAnsi="Calibri"/>
          <w:b/>
          <w:sz w:val="22"/>
        </w:rPr>
        <w:t>confirmed</w:t>
      </w:r>
      <w:r>
        <w:rPr>
          <w:rFonts w:ascii="Calibri" w:hAnsi="Calibri"/>
          <w:sz w:val="22"/>
        </w:rPr>
        <w:t xml:space="preserve"> when the observed or credibly demonstrated behavior matches the technique definition and is supported by finding evidence.</w:t>
      </w:r>
    </w:p>
    <w:p>
      <w:r>
        <w:rPr>
          <w:rFonts w:ascii="Calibri" w:hAnsi="Calibri"/>
          <w:sz w:val="22"/>
        </w:rPr>
        <w:t xml:space="preserve">A mapping is </w:t>
      </w:r>
      <w:r>
        <w:rPr>
          <w:rFonts w:ascii="Calibri" w:hAnsi="Calibri"/>
          <w:b/>
          <w:sz w:val="22"/>
        </w:rPr>
        <w:t>candidate</w:t>
      </w:r>
      <w:r>
        <w:rPr>
          <w:rFonts w:ascii="Calibri" w:hAnsi="Calibri"/>
          <w:sz w:val="22"/>
        </w:rPr>
        <w:t xml:space="preserve"> when the technique may describe a credible attack path but the behavior was not demonstrated or evidence is incomplete.</w:t>
      </w:r>
    </w:p>
    <w:p>
      <w:r>
        <w:rPr>
          <w:rFonts w:ascii="Courier New" w:hAnsi="Courier New"/>
          <w:color w:val="1F4D78"/>
          <w:sz w:val="20"/>
        </w:rPr>
        <w:t>not_applicable</w:t>
      </w:r>
      <w:r>
        <w:rPr>
          <w:rFonts w:ascii="Calibri" w:hAnsi="Calibri"/>
          <w:sz w:val="22"/>
        </w:rPr>
        <w:t xml:space="preserve"> SHOULD be used only with a short rationale.</w:t>
      </w:r>
    </w:p>
    <w:p>
      <w:r>
        <w:rPr>
          <w:rFonts w:ascii="Calibri" w:hAnsi="Calibri"/>
          <w:sz w:val="22"/>
        </w:rPr>
        <w:t>FARI MUST NOT map a technique merely because its title sounds similar to the finding.</w:t>
      </w:r>
    </w:p>
    <w:p>
      <w:pPr>
        <w:pStyle w:val="Heading2"/>
      </w:pPr>
      <w:r>
        <w:rPr>
          <w:rFonts w:ascii="Calibri" w:hAnsi="Calibri"/>
          <w:color w:val="2E74B5"/>
          <w:sz w:val="26"/>
        </w:rPr>
        <w:t>5. Multiple Frameworks</w:t>
      </w:r>
    </w:p>
    <w:p>
      <w:r>
        <w:rPr>
          <w:rFonts w:ascii="Calibri" w:hAnsi="Calibri"/>
          <w:sz w:val="22"/>
        </w:rPr>
        <w:t>One finding may legitimately use more than one mapping:</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Scope</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Preferred mapping</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Spacecraft behavior or effect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SPARTA</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Ground enterprise, cloud, identity, operator workstation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MITRE ATT&amp;CK</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Control or compliance deficiency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NIST, ISO, ECSS, CCSDS, or organizational requirement</w:t>
            </w:r>
          </w:p>
        </w:tc>
      </w:tr>
    </w:tbl>
    <w:p>
      <w:pPr>
        <w:spacing w:after="20"/>
      </w:pPr>
    </w:p>
    <w:p>
      <w:r>
        <w:rPr>
          <w:rFonts w:ascii="Calibri" w:hAnsi="Calibri"/>
          <w:sz w:val="22"/>
        </w:rPr>
        <w:t>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A compromised ground identity permits an operator to queue a valid malicious command.</w:t>
            </w:r>
          </w:p>
        </w:tc>
      </w:tr>
    </w:tbl>
    <w:p>
      <w:pPr>
        <w:spacing w:after="20"/>
      </w:pPr>
    </w:p>
    <w:p>
      <w:r>
        <w:rPr>
          <w:rFonts w:ascii="Calibri" w:hAnsi="Calibri"/>
          <w:sz w:val="22"/>
        </w:rPr>
        <w:t>This scenario may use ATT&amp;CK to describe the identity compromise and SPARTA to describe the spacecraft-oriented attack path. FARI connects both to one mission risk scenario.</w:t>
      </w:r>
    </w:p>
    <w:p>
      <w:pPr>
        <w:pStyle w:val="Heading2"/>
      </w:pPr>
      <w:r>
        <w:rPr>
          <w:rFonts w:ascii="Calibri" w:hAnsi="Calibri"/>
          <w:color w:val="2E74B5"/>
          <w:sz w:val="26"/>
        </w:rPr>
        <w:t>6. Versioning</w:t>
      </w:r>
    </w:p>
    <w:p>
      <w:r>
        <w:rPr>
          <w:rFonts w:ascii="Calibri" w:hAnsi="Calibri"/>
          <w:sz w:val="22"/>
        </w:rPr>
        <w:t>SPARTA evolves. A FARI record MUST store:</w:t>
      </w:r>
    </w:p>
    <w:p>
      <w:pPr>
        <w:pStyle w:val="ListBullet"/>
      </w:pPr>
      <w:r>
        <w:rPr>
          <w:rFonts w:ascii="Calibri" w:hAnsi="Calibri"/>
          <w:sz w:val="22"/>
        </w:rPr>
        <w:t>Framework name.</w:t>
      </w:r>
    </w:p>
    <w:p>
      <w:pPr>
        <w:pStyle w:val="ListBullet"/>
      </w:pPr>
      <w:r>
        <w:rPr>
          <w:rFonts w:ascii="Calibri" w:hAnsi="Calibri"/>
          <w:sz w:val="22"/>
        </w:rPr>
        <w:t>Version, if published and known.</w:t>
      </w:r>
    </w:p>
    <w:p>
      <w:pPr>
        <w:pStyle w:val="ListBullet"/>
      </w:pPr>
      <w:r>
        <w:rPr>
          <w:rFonts w:ascii="Calibri" w:hAnsi="Calibri"/>
          <w:sz w:val="22"/>
        </w:rPr>
        <w:t>Access date.</w:t>
      </w:r>
    </w:p>
    <w:p>
      <w:pPr>
        <w:pStyle w:val="ListBullet"/>
      </w:pPr>
      <w:r>
        <w:rPr>
          <w:rFonts w:ascii="Calibri" w:hAnsi="Calibri"/>
          <w:sz w:val="22"/>
        </w:rPr>
        <w:t>Technique or countermeasure ID.</w:t>
      </w:r>
    </w:p>
    <w:p>
      <w:pPr>
        <w:pStyle w:val="ListBullet"/>
      </w:pPr>
      <w:r>
        <w:rPr>
          <w:rFonts w:ascii="Calibri" w:hAnsi="Calibri"/>
          <w:sz w:val="22"/>
        </w:rPr>
        <w:t>Name captured at assessment time.</w:t>
      </w:r>
    </w:p>
    <w:p>
      <w:pPr>
        <w:pStyle w:val="ListBullet"/>
      </w:pPr>
      <w:r>
        <w:rPr>
          <w:rFonts w:ascii="Calibri" w:hAnsi="Calibri"/>
          <w:sz w:val="22"/>
        </w:rPr>
        <w:t>Source URL.</w:t>
      </w:r>
    </w:p>
    <w:p>
      <w:r>
        <w:rPr>
          <w:rFonts w:ascii="Calibri" w:hAnsi="Calibri"/>
          <w:sz w:val="22"/>
        </w:rPr>
        <w:t>Mappings SHOULD be reviewed when a FARI assessment is reopened or when the referenced SPARTA version changes materially.</w:t>
      </w:r>
    </w:p>
    <w:p>
      <w:pPr>
        <w:pStyle w:val="Heading2"/>
      </w:pPr>
      <w:r>
        <w:rPr>
          <w:rFonts w:ascii="Calibri" w:hAnsi="Calibri"/>
          <w:color w:val="2E74B5"/>
          <w:sz w:val="26"/>
        </w:rPr>
        <w:t>7. Example Mappings</w:t>
      </w:r>
    </w:p>
    <w:p>
      <w:r>
        <w:rPr>
          <w:rFonts w:ascii="Calibri" w:hAnsi="Calibri"/>
          <w:sz w:val="22"/>
        </w:rPr>
        <w:t>The following examples use live SPARTA content accessed on 2026-06-07. They are illustrative and must be revalidated for a real engagement.</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Technical result</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Example SPARTA relationship</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 state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Malformed telecommand triggers memory corruption in flight software</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EX-0009 Exploit Code Flaws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when execution/effect is evidenced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Untrusted dependency can enter the flight build</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IA-0001.01 Software Dependencies &amp; Development Tools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or candidate depending on evidence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Boot configuration can be modified to bypass trust checks</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EX-0004 Compromise Boot Memory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when boot behavior is evidenced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Ground-system compromise permits spacecraft command preparation</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IA-0007 Compromise Ground System</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 until the end-to-end path is evidenced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Telemetry manipulation hides unauthorized activity</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DE-0002 Disrupt or Deceive Downlink</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when deception or disruption is evidenced</w:t>
            </w:r>
          </w:p>
        </w:tc>
      </w:tr>
    </w:tbl>
    <w:p>
      <w:pPr>
        <w:spacing w:after="20"/>
      </w:pPr>
    </w:p>
    <w:p>
      <w:pPr>
        <w:pStyle w:val="Heading2"/>
      </w:pPr>
      <w:r>
        <w:rPr>
          <w:rFonts w:ascii="Calibri" w:hAnsi="Calibri"/>
          <w:color w:val="2E74B5"/>
          <w:sz w:val="26"/>
        </w:rPr>
        <w:t>8. SPARTA Applicability Record</w:t>
      </w:r>
    </w:p>
    <w:p>
      <w:r>
        <w:rPr>
          <w:rFonts w:ascii="Calibri" w:hAnsi="Calibri"/>
          <w:sz w:val="22"/>
        </w:rPr>
        <w:t>Minimum fields: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pPr>
            <w:r>
              <w:rPr>
                <w:rFonts w:ascii="Courier New" w:hAnsi="Courier New"/>
                <w:color w:val="0B2545"/>
                <w:sz w:val="17"/>
              </w:rPr>
              <w:t>mapping_id: MAP-001</w:t>
              <w:br/>
              <w:t>finding_id: FND-001</w:t>
              <w:br/>
              <w:t>framework: SPARTA</w:t>
              <w:br/>
              <w:t>framework_version: "declared release or live"</w:t>
              <w:br/>
              <w:t>accessed: "YYYY-MM-DD"</w:t>
              <w:br/>
              <w:t>technique_id: EX-0009</w:t>
              <w:br/>
              <w:t>technique_name: Exploit Code Flaws</w:t>
              <w:br/>
              <w:t>mapping_state: confirmed</w:t>
              <w:br/>
              <w:t>rationale: &gt;</w:t>
              <w:br/>
              <w:t xml:space="preserve">  Reproducible malformed input caused the flight-software parser to corrupt</w:t>
              <w:br/>
              <w:t xml:space="preserve">  memory and terminate the command-handling process.</w:t>
              <w:br/>
              <w:t>source_url: https://sparta.aerospace.org/technique/EX-0009/</w:t>
            </w:r>
          </w:p>
        </w:tc>
      </w:tr>
    </w:tbl>
    <w:p>
      <w:pPr>
        <w:pStyle w:val="Heading2"/>
      </w:pPr>
      <w:r>
        <w:rPr>
          <w:rFonts w:ascii="Calibri" w:hAnsi="Calibri"/>
          <w:color w:val="2E74B5"/>
          <w:sz w:val="26"/>
        </w:rPr>
        <w:t>9. References</w:t>
      </w:r>
    </w:p>
    <w:p>
      <w:pPr>
        <w:pStyle w:val="ListBullet"/>
      </w:pPr>
      <w:r>
        <w:rPr>
          <w:rFonts w:ascii="Calibri" w:hAnsi="Calibri"/>
          <w:sz w:val="22"/>
        </w:rPr>
        <w:t>SPARTA (https://sparta.aerospace.org/)</w:t>
      </w:r>
    </w:p>
    <w:p>
      <w:pPr>
        <w:pStyle w:val="ListBullet"/>
      </w:pPr>
      <w:r>
        <w:rPr>
          <w:rFonts w:ascii="Calibri" w:hAnsi="Calibri"/>
          <w:sz w:val="22"/>
        </w:rPr>
        <w:t>SPARTA User Guide (https://sparta.aerospace.org/resources/user-guide)</w:t>
      </w:r>
    </w:p>
    <w:p>
      <w:pPr>
        <w:pStyle w:val="ListBullet"/>
      </w:pPr>
      <w:r>
        <w:rPr>
          <w:rFonts w:ascii="Calibri" w:hAnsi="Calibri"/>
          <w:sz w:val="22"/>
        </w:rPr>
        <w:t>The Aerospace Corporation SPARTA overview (https://aerospace.org/sparta)</w:t>
      </w:r>
    </w:p>
    <w:p>
      <w:r>
        <w:br w:type="page"/>
      </w:r>
    </w:p>
    <w:p>
      <w:pPr>
        <w:pStyle w:val="Heading1"/>
      </w:pPr>
      <w:r>
        <w:rPr>
          <w:rFonts w:ascii="Calibri" w:hAnsi="Calibri"/>
          <w:color w:val="2E74B5"/>
          <w:sz w:val="32"/>
        </w:rPr>
        <w:t>Appendix B: FARI Data Model</w:t>
      </w:r>
    </w:p>
    <w:p>
      <w:pPr>
        <w:pStyle w:val="Heading2"/>
      </w:pPr>
      <w:r>
        <w:rPr>
          <w:rFonts w:ascii="Calibri" w:hAnsi="Calibri"/>
          <w:color w:val="2E74B5"/>
          <w:sz w:val="26"/>
        </w:rPr>
        <w:t>1. Purpose</w:t>
      </w:r>
    </w:p>
    <w:p>
      <w:r>
        <w:rPr>
          <w:rFonts w:ascii="Calibri" w:hAnsi="Calibri"/>
          <w:sz w:val="22"/>
        </w:rPr>
        <w:t>The FARI data model is the stable contract between assessment methods, documents, and future tooling. It is intentionally smaller than a complete space-system ontology.</w:t>
      </w:r>
    </w:p>
    <w:p>
      <w:r>
        <w:rPr>
          <w:rFonts w:ascii="Calibri" w:hAnsi="Calibri"/>
          <w:sz w:val="22"/>
        </w:rPr>
        <w:t>FARI records may initially be maintained in Markdown and YAML. A future web application should preserve the same identifiers and relationships. The model assumes that source material may arrive without any FARI structure; all FARI normalization is performed by the Report Author or application workflow.</w:t>
      </w:r>
    </w:p>
    <w:p>
      <w:pPr>
        <w:pStyle w:val="Heading2"/>
      </w:pPr>
      <w:r>
        <w:rPr>
          <w:rFonts w:ascii="Calibri" w:hAnsi="Calibri"/>
          <w:color w:val="2E74B5"/>
          <w:sz w:val="26"/>
        </w:rPr>
        <w:t>2. Record Relationships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2"/>
      </w:pPr>
      <w:r>
        <w:rPr>
          <w:rFonts w:ascii="Calibri" w:hAnsi="Calibri"/>
          <w:color w:val="2E74B5"/>
          <w:sz w:val="26"/>
        </w:rPr>
        <w:t>3. Stable Identifier Prefixes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Record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Prefix</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Example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Assessment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ASM</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ASM-2026-001</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Investigation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INV</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INV-003</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material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SRC</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SRC-014</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objective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OBJ</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OBJ-001</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Asset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AST</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AST-SV-CMD-001</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CLM</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CLM-004</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Method run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RUN</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RUN-QEMU-002</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EVD</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EVD-014</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Evidence intake review</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EIR</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EIR-002</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Evidence gap / question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GAP</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GAP-004</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Finding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FND</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FND-003</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Mapping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MAP</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MAP-009</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Risk</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RSK</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RSK-003</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Recommendation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REC-006</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Assurance statement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ASR</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ASR-004</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Conclusion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CON-004</w:t>
            </w:r>
          </w:p>
        </w:tc>
      </w:tr>
    </w:tbl>
    <w:p>
      <w:pPr>
        <w:spacing w:after="20"/>
      </w:pPr>
    </w:p>
    <w:p>
      <w:r>
        <w:rPr>
          <w:rFonts w:ascii="Calibri" w:hAnsi="Calibri"/>
          <w:sz w:val="22"/>
        </w:rPr>
        <w:t>Identifiers MUST remain stable across report revisions.</w:t>
      </w:r>
    </w:p>
    <w:p>
      <w:pPr>
        <w:pStyle w:val="Heading2"/>
      </w:pPr>
      <w:r>
        <w:rPr>
          <w:rFonts w:ascii="Calibri" w:hAnsi="Calibri"/>
          <w:color w:val="2E74B5"/>
          <w:sz w:val="26"/>
        </w:rPr>
        <w:t>4. Core Records</w:t>
      </w:r>
    </w:p>
    <w:p>
      <w:pPr>
        <w:pStyle w:val="Heading3"/>
      </w:pPr>
      <w:r>
        <w:rPr>
          <w:rFonts w:ascii="Calibri" w:hAnsi="Calibri"/>
          <w:color w:val="1F4D78"/>
          <w:sz w:val="24"/>
        </w:rPr>
        <w:t>4.1 Assessment</w:t>
      </w:r>
    </w:p>
    <w:p>
      <w:pPr>
        <w:pStyle w:val="ListBullet"/>
      </w:pPr>
      <w:r>
        <w:rPr>
          <w:rFonts w:ascii="Calibri" w:hAnsi="Calibri"/>
          <w:sz w:val="22"/>
        </w:rPr>
        <w:t>ID, title, owner, assessors, dates, status, version.</w:t>
      </w:r>
    </w:p>
    <w:p>
      <w:pPr>
        <w:pStyle w:val="ListBullet"/>
      </w:pPr>
      <w:r>
        <w:rPr>
          <w:rFonts w:ascii="Calibri" w:hAnsi="Calibri"/>
          <w:sz w:val="22"/>
        </w:rPr>
        <w:t>Named evidence producers, report author, mission owner, and risk authority.</w:t>
      </w:r>
    </w:p>
    <w:p>
      <w:pPr>
        <w:pStyle w:val="ListBullet"/>
      </w:pPr>
      <w:r>
        <w:rPr>
          <w:rFonts w:ascii="Calibri" w:hAnsi="Calibri"/>
          <w:sz w:val="22"/>
        </w:rPr>
        <w:t>Mission-context reference.</w:t>
      </w:r>
    </w:p>
    <w:p>
      <w:pPr>
        <w:pStyle w:val="ListBullet"/>
      </w:pPr>
      <w:r>
        <w:rPr>
          <w:rFonts w:ascii="Calibri" w:hAnsi="Calibri"/>
          <w:sz w:val="22"/>
        </w:rPr>
        <w:t>Scope and exclusions.</w:t>
      </w:r>
    </w:p>
    <w:p>
      <w:pPr>
        <w:pStyle w:val="ListBullet"/>
      </w:pPr>
      <w:r>
        <w:rPr>
          <w:rFonts w:ascii="Calibri" w:hAnsi="Calibri"/>
          <w:sz w:val="22"/>
        </w:rPr>
        <w:t>Rules-of-engagement reference.</w:t>
      </w:r>
    </w:p>
    <w:p>
      <w:pPr>
        <w:pStyle w:val="ListBullet"/>
      </w:pPr>
      <w:r>
        <w:rPr>
          <w:rFonts w:ascii="Calibri" w:hAnsi="Calibri"/>
          <w:sz w:val="22"/>
        </w:rPr>
        <w:t>Declared framework/profile versions.</w:t>
      </w:r>
    </w:p>
    <w:p>
      <w:pPr>
        <w:pStyle w:val="ListBullet"/>
      </w:pPr>
      <w:r>
        <w:rPr>
          <w:rFonts w:ascii="Calibri" w:hAnsi="Calibri"/>
          <w:sz w:val="22"/>
        </w:rPr>
        <w:t>Deliverables and approval state.</w:t>
      </w:r>
    </w:p>
    <w:p>
      <w:pPr>
        <w:pStyle w:val="ListBullet"/>
      </w:pPr>
      <w:r>
        <w:rPr>
          <w:rFonts w:ascii="Calibri" w:hAnsi="Calibri"/>
          <w:sz w:val="22"/>
        </w:rPr>
        <w:t>Overall FARI Conclusion, confidence, required action, scope boundary, and conclusion rationale.</w:t>
      </w:r>
    </w:p>
    <w:p>
      <w:pPr>
        <w:pStyle w:val="Heading3"/>
      </w:pPr>
      <w:r>
        <w:rPr>
          <w:rFonts w:ascii="Calibri" w:hAnsi="Calibri"/>
          <w:color w:val="1F4D78"/>
          <w:sz w:val="24"/>
        </w:rPr>
        <w:t>4.2 Investigation</w:t>
      </w:r>
    </w:p>
    <w:p>
      <w:pPr>
        <w:pStyle w:val="ListBullet"/>
      </w:pPr>
      <w:r>
        <w:rPr>
          <w:rFonts w:ascii="Calibri" w:hAnsi="Calibri"/>
          <w:sz w:val="22"/>
        </w:rPr>
        <w:t>ID, title, assessment reference, and report reference.</w:t>
      </w:r>
    </w:p>
    <w:p>
      <w:pPr>
        <w:pStyle w:val="ListBullet"/>
      </w:pPr>
      <w:r>
        <w:rPr>
          <w:rFonts w:ascii="Calibri" w:hAnsi="Calibri"/>
          <w:sz w:val="22"/>
        </w:rPr>
        <w:t>Source-material, claim, finding, and evidence references.</w:t>
      </w:r>
    </w:p>
    <w:p>
      <w:pPr>
        <w:pStyle w:val="ListBullet"/>
      </w:pPr>
      <w:r>
        <w:rPr>
          <w:rFonts w:ascii="Calibri" w:hAnsi="Calibri"/>
          <w:sz w:val="22"/>
        </w:rPr>
        <w:t>FARI Conclusion, confidence, required action, priority, scope boundary, and rationale.</w:t>
      </w:r>
    </w:p>
    <w:p>
      <w:pPr>
        <w:pStyle w:val="ListBullet"/>
      </w:pPr>
      <w:r>
        <w:rPr>
          <w:rFonts w:ascii="Calibri" w:hAnsi="Calibri"/>
          <w:sz w:val="22"/>
        </w:rPr>
        <w:t>Open gaps, contradictions, remediation, and retest references.</w:t>
      </w:r>
    </w:p>
    <w:p>
      <w:pPr>
        <w:pStyle w:val="Heading3"/>
      </w:pPr>
      <w:r>
        <w:rPr>
          <w:rFonts w:ascii="Calibri" w:hAnsi="Calibri"/>
          <w:color w:val="1F4D78"/>
          <w:sz w:val="24"/>
        </w:rPr>
        <w:t>4.3 Source Material</w:t>
      </w:r>
    </w:p>
    <w:p>
      <w:pPr>
        <w:pStyle w:val="ListBullet"/>
      </w:pPr>
      <w:r>
        <w:rPr>
          <w:rFonts w:ascii="Calibri" w:hAnsi="Calibri"/>
          <w:sz w:val="22"/>
        </w:rPr>
        <w:t>ID, supplied name or description, source, received date, and controlled reference.</w:t>
      </w:r>
    </w:p>
    <w:p>
      <w:pPr>
        <w:pStyle w:val="ListBullet"/>
      </w:pPr>
      <w:r>
        <w:rPr>
          <w:rFonts w:ascii="Calibri" w:hAnsi="Calibri"/>
          <w:sz w:val="22"/>
        </w:rPr>
        <w:t>Integrity value and handling restrictions when available.</w:t>
      </w:r>
    </w:p>
    <w:p>
      <w:pPr>
        <w:pStyle w:val="ListBullet"/>
      </w:pPr>
      <w:r>
        <w:rPr>
          <w:rFonts w:ascii="Calibri" w:hAnsi="Calibri"/>
          <w:sz w:val="22"/>
        </w:rPr>
        <w:t>Original format and any known limitations.</w:t>
      </w:r>
    </w:p>
    <w:p>
      <w:r>
        <w:rPr>
          <w:rFonts w:ascii="Calibri" w:hAnsi="Calibri"/>
          <w:sz w:val="22"/>
        </w:rPr>
        <w:t>Source material has no required FARI-facing structure and may contain arbitrary auditor notes, logs, scripts, screenshots, captures, reports, or interviews.</w:t>
      </w:r>
    </w:p>
    <w:p>
      <w:pPr>
        <w:pStyle w:val="Heading3"/>
      </w:pPr>
      <w:r>
        <w:rPr>
          <w:rFonts w:ascii="Calibri" w:hAnsi="Calibri"/>
          <w:color w:val="1F4D78"/>
          <w:sz w:val="24"/>
        </w:rPr>
        <w:t>4.4 Asset</w:t>
      </w:r>
    </w:p>
    <w:p>
      <w:pPr>
        <w:pStyle w:val="ListBullet"/>
      </w:pPr>
      <w:r>
        <w:rPr>
          <w:rFonts w:ascii="Calibri" w:hAnsi="Calibri"/>
          <w:sz w:val="22"/>
        </w:rPr>
        <w:t>ID, name, segment, type, owner.</w:t>
      </w:r>
    </w:p>
    <w:p>
      <w:pPr>
        <w:pStyle w:val="ListBullet"/>
      </w:pPr>
      <w:r>
        <w:rPr>
          <w:rFonts w:ascii="Calibri" w:hAnsi="Calibri"/>
          <w:sz w:val="22"/>
        </w:rPr>
        <w:t>Mission functions and objectives supported.</w:t>
      </w:r>
    </w:p>
    <w:p>
      <w:pPr>
        <w:pStyle w:val="ListBullet"/>
      </w:pPr>
      <w:r>
        <w:rPr>
          <w:rFonts w:ascii="Calibri" w:hAnsi="Calibri"/>
          <w:sz w:val="22"/>
        </w:rPr>
        <w:t>Interfaces, trust boundaries, and dependencies.</w:t>
      </w:r>
    </w:p>
    <w:p>
      <w:pPr>
        <w:pStyle w:val="ListBullet"/>
      </w:pPr>
      <w:r>
        <w:rPr>
          <w:rFonts w:ascii="Calibri" w:hAnsi="Calibri"/>
          <w:sz w:val="22"/>
        </w:rPr>
        <w:t>Lifecycle state and operational modes.</w:t>
      </w:r>
    </w:p>
    <w:p>
      <w:pPr>
        <w:pStyle w:val="ListBullet"/>
      </w:pPr>
      <w:r>
        <w:rPr>
          <w:rFonts w:ascii="Calibri" w:hAnsi="Calibri"/>
          <w:sz w:val="22"/>
        </w:rPr>
        <w:t>Access model and coverage state.</w:t>
      </w:r>
    </w:p>
    <w:p>
      <w:pPr>
        <w:pStyle w:val="Heading3"/>
      </w:pPr>
      <w:r>
        <w:rPr>
          <w:rFonts w:ascii="Calibri" w:hAnsi="Calibri"/>
          <w:color w:val="1F4D78"/>
          <w:sz w:val="24"/>
        </w:rPr>
        <w:t>4.5 Claim</w:t>
      </w:r>
    </w:p>
    <w:p>
      <w:pPr>
        <w:pStyle w:val="ListBullet"/>
      </w:pPr>
      <w:r>
        <w:rPr>
          <w:rFonts w:ascii="Calibri" w:hAnsi="Calibri"/>
          <w:sz w:val="22"/>
        </w:rPr>
        <w:t>ID and testable statement.</w:t>
      </w:r>
    </w:p>
    <w:p>
      <w:pPr>
        <w:pStyle w:val="ListBullet"/>
      </w:pPr>
      <w:r>
        <w:rPr>
          <w:rFonts w:ascii="Calibri" w:hAnsi="Calibri"/>
          <w:sz w:val="22"/>
        </w:rPr>
        <w:t>Mission objective and assets.</w:t>
      </w:r>
    </w:p>
    <w:p>
      <w:pPr>
        <w:pStyle w:val="ListBullet"/>
      </w:pPr>
      <w:r>
        <w:rPr>
          <w:rFonts w:ascii="Calibri" w:hAnsi="Calibri"/>
          <w:sz w:val="22"/>
        </w:rPr>
        <w:t>Acceptance criteria.</w:t>
      </w:r>
    </w:p>
    <w:p>
      <w:pPr>
        <w:pStyle w:val="ListBullet"/>
      </w:pPr>
      <w:r>
        <w:rPr>
          <w:rFonts w:ascii="Calibri" w:hAnsi="Calibri"/>
          <w:sz w:val="22"/>
        </w:rPr>
        <w:t>Planned methods.</w:t>
      </w:r>
    </w:p>
    <w:p>
      <w:pPr>
        <w:pStyle w:val="ListBullet"/>
      </w:pPr>
      <w:r>
        <w:rPr>
          <w:rFonts w:ascii="Calibri" w:hAnsi="Calibri"/>
          <w:sz w:val="22"/>
        </w:rPr>
        <w:t>Gating state.</w:t>
      </w:r>
    </w:p>
    <w:p>
      <w:pPr>
        <w:pStyle w:val="ListBullet"/>
      </w:pPr>
      <w:r>
        <w:rPr>
          <w:rFonts w:ascii="Calibri" w:hAnsi="Calibri"/>
          <w:sz w:val="22"/>
        </w:rPr>
        <w:t>FARI Conclusion: Meets, Does Not Meet, Inconclusive, or Not Assessed.</w:t>
      </w:r>
    </w:p>
    <w:p>
      <w:pPr>
        <w:pStyle w:val="Heading3"/>
      </w:pPr>
      <w:r>
        <w:rPr>
          <w:rFonts w:ascii="Calibri" w:hAnsi="Calibri"/>
          <w:color w:val="1F4D78"/>
          <w:sz w:val="24"/>
        </w:rPr>
        <w:t>4.6 Method Run</w:t>
      </w:r>
    </w:p>
    <w:p>
      <w:pPr>
        <w:pStyle w:val="ListBullet"/>
      </w:pPr>
      <w:r>
        <w:rPr>
          <w:rFonts w:ascii="Calibri" w:hAnsi="Calibri"/>
          <w:sz w:val="22"/>
        </w:rPr>
        <w:t>ID, source-material references, responsible assessor when known, and method name/version when known.</w:t>
      </w:r>
    </w:p>
    <w:p>
      <w:pPr>
        <w:pStyle w:val="ListBullet"/>
      </w:pPr>
      <w:r>
        <w:rPr>
          <w:rFonts w:ascii="Calibri" w:hAnsi="Calibri"/>
          <w:sz w:val="22"/>
        </w:rPr>
        <w:t>Targets and claims.</w:t>
      </w:r>
    </w:p>
    <w:p>
      <w:pPr>
        <w:pStyle w:val="ListBullet"/>
      </w:pPr>
      <w:r>
        <w:rPr>
          <w:rFonts w:ascii="Calibri" w:hAnsi="Calibri"/>
          <w:sz w:val="22"/>
        </w:rPr>
        <w:t>Environment and access model.</w:t>
      </w:r>
    </w:p>
    <w:p>
      <w:pPr>
        <w:pStyle w:val="ListBullet"/>
      </w:pPr>
      <w:r>
        <w:rPr>
          <w:rFonts w:ascii="Calibri" w:hAnsi="Calibri"/>
          <w:sz w:val="22"/>
        </w:rPr>
        <w:t>Inputs, tools, configurations, and dates.</w:t>
      </w:r>
    </w:p>
    <w:p>
      <w:pPr>
        <w:pStyle w:val="ListBullet"/>
      </w:pPr>
      <w:r>
        <w:rPr>
          <w:rFonts w:ascii="Calibri" w:hAnsi="Calibri"/>
          <w:sz w:val="22"/>
        </w:rPr>
        <w:t>Results, deviations, limitations, and evidence references.</w:t>
      </w:r>
    </w:p>
    <w:p>
      <w:r>
        <w:rPr>
          <w:rFonts w:ascii="Calibri" w:hAnsi="Calibri"/>
          <w:sz w:val="22"/>
        </w:rPr>
        <w:t>Method-run records are normalized by the Report Author. They do not imply that the evidence producer supplied a FARI record.</w:t>
      </w:r>
    </w:p>
    <w:p>
      <w:pPr>
        <w:pStyle w:val="Heading3"/>
      </w:pPr>
      <w:r>
        <w:rPr>
          <w:rFonts w:ascii="Calibri" w:hAnsi="Calibri"/>
          <w:color w:val="1F4D78"/>
          <w:sz w:val="24"/>
        </w:rPr>
        <w:t>4.7 Evidence</w:t>
      </w:r>
    </w:p>
    <w:p>
      <w:pPr>
        <w:pStyle w:val="ListBullet"/>
      </w:pPr>
      <w:r>
        <w:rPr>
          <w:rFonts w:ascii="Calibri" w:hAnsi="Calibri"/>
          <w:sz w:val="22"/>
        </w:rPr>
        <w:t>ID, type, description, source, collection time.</w:t>
      </w:r>
    </w:p>
    <w:p>
      <w:pPr>
        <w:pStyle w:val="ListBullet"/>
      </w:pPr>
      <w:r>
        <w:rPr>
          <w:rFonts w:ascii="Calibri" w:hAnsi="Calibri"/>
          <w:sz w:val="22"/>
        </w:rPr>
        <w:t>Method-run reference.</w:t>
      </w:r>
    </w:p>
    <w:p>
      <w:pPr>
        <w:pStyle w:val="ListBullet"/>
      </w:pPr>
      <w:r>
        <w:rPr>
          <w:rFonts w:ascii="Calibri" w:hAnsi="Calibri"/>
          <w:sz w:val="22"/>
        </w:rPr>
        <w:t>Storage location or controlled reference.</w:t>
      </w:r>
    </w:p>
    <w:p>
      <w:pPr>
        <w:pStyle w:val="ListBullet"/>
      </w:pPr>
      <w:r>
        <w:rPr>
          <w:rFonts w:ascii="Calibri" w:hAnsi="Calibri"/>
          <w:sz w:val="22"/>
        </w:rPr>
        <w:t>Integrity value where practical.</w:t>
      </w:r>
    </w:p>
    <w:p>
      <w:pPr>
        <w:pStyle w:val="ListBullet"/>
      </w:pPr>
      <w:r>
        <w:rPr>
          <w:rFonts w:ascii="Calibri" w:hAnsi="Calibri"/>
          <w:sz w:val="22"/>
        </w:rPr>
        <w:t>Sensitivity and handling restrictions.</w:t>
      </w:r>
    </w:p>
    <w:p>
      <w:pPr>
        <w:pStyle w:val="Heading3"/>
      </w:pPr>
      <w:r>
        <w:rPr>
          <w:rFonts w:ascii="Calibri" w:hAnsi="Calibri"/>
          <w:color w:val="1F4D78"/>
          <w:sz w:val="24"/>
        </w:rPr>
        <w:t>4.8 Evidence Intake Review</w:t>
      </w:r>
    </w:p>
    <w:p>
      <w:pPr>
        <w:pStyle w:val="ListBullet"/>
      </w:pPr>
      <w:r>
        <w:rPr>
          <w:rFonts w:ascii="Calibri" w:hAnsi="Calibri"/>
          <w:sz w:val="22"/>
        </w:rPr>
        <w:t>ID, source-material, evidence, and method-run references.</w:t>
      </w:r>
    </w:p>
    <w:p>
      <w:pPr>
        <w:pStyle w:val="ListBullet"/>
      </w:pPr>
      <w:r>
        <w:rPr>
          <w:rFonts w:ascii="Calibri" w:hAnsi="Calibri"/>
          <w:sz w:val="22"/>
        </w:rPr>
        <w:t>Report author and review date.</w:t>
      </w:r>
    </w:p>
    <w:p>
      <w:pPr>
        <w:pStyle w:val="ListBullet"/>
      </w:pPr>
      <w:r>
        <w:rPr>
          <w:rFonts w:ascii="Calibri" w:hAnsi="Calibri"/>
          <w:sz w:val="22"/>
        </w:rPr>
        <w:t>Supported facts and evidence-producer assertions.</w:t>
      </w:r>
    </w:p>
    <w:p>
      <w:pPr>
        <w:pStyle w:val="ListBullet"/>
      </w:pPr>
      <w:r>
        <w:rPr>
          <w:rFonts w:ascii="Calibri" w:hAnsi="Calibri"/>
          <w:sz w:val="22"/>
        </w:rPr>
        <w:t>Report-author inferences and assumptions.</w:t>
      </w:r>
    </w:p>
    <w:p>
      <w:pPr>
        <w:pStyle w:val="ListBullet"/>
      </w:pPr>
      <w:r>
        <w:rPr>
          <w:rFonts w:ascii="Calibri" w:hAnsi="Calibri"/>
          <w:sz w:val="22"/>
        </w:rPr>
        <w:t>Contradictions, missing information, and evidence requests.</w:t>
      </w:r>
    </w:p>
    <w:p>
      <w:pPr>
        <w:pStyle w:val="ListBullet"/>
      </w:pPr>
      <w:r>
        <w:rPr>
          <w:rFonts w:ascii="Calibri" w:hAnsi="Calibri"/>
          <w:sz w:val="22"/>
        </w:rPr>
        <w:t>Sufficiency for technical condition, reachability, and mission consequence.</w:t>
      </w:r>
    </w:p>
    <w:p>
      <w:pPr>
        <w:pStyle w:val="Heading3"/>
      </w:pPr>
      <w:r>
        <w:rPr>
          <w:rFonts w:ascii="Calibri" w:hAnsi="Calibri"/>
          <w:color w:val="1F4D78"/>
          <w:sz w:val="24"/>
        </w:rPr>
        <w:t>4.9 Finding</w:t>
      </w:r>
    </w:p>
    <w:p>
      <w:pPr>
        <w:pStyle w:val="ListBullet"/>
      </w:pPr>
      <w:r>
        <w:rPr>
          <w:rFonts w:ascii="Calibri" w:hAnsi="Calibri"/>
          <w:sz w:val="22"/>
        </w:rPr>
        <w:t>ID, title, state, affected assets, and mission objectives.</w:t>
      </w:r>
    </w:p>
    <w:p>
      <w:pPr>
        <w:pStyle w:val="ListBullet"/>
      </w:pPr>
      <w:r>
        <w:rPr>
          <w:rFonts w:ascii="Calibri" w:hAnsi="Calibri"/>
          <w:sz w:val="22"/>
        </w:rPr>
        <w:t>Condition, preconditions, attack path, technical effect, mission consequence.</w:t>
      </w:r>
    </w:p>
    <w:p>
      <w:pPr>
        <w:pStyle w:val="ListBullet"/>
      </w:pPr>
      <w:r>
        <w:rPr>
          <w:rFonts w:ascii="Calibri" w:hAnsi="Calibri"/>
          <w:sz w:val="22"/>
        </w:rPr>
        <w:t>Method-run and evidence references.</w:t>
      </w:r>
    </w:p>
    <w:p>
      <w:pPr>
        <w:pStyle w:val="ListBullet"/>
      </w:pPr>
      <w:r>
        <w:rPr>
          <w:rFonts w:ascii="Calibri" w:hAnsi="Calibri"/>
          <w:sz w:val="22"/>
        </w:rPr>
        <w:t>Framework mappings.</w:t>
      </w:r>
    </w:p>
    <w:p>
      <w:pPr>
        <w:pStyle w:val="ListBullet"/>
      </w:pPr>
      <w:r>
        <w:rPr>
          <w:rFonts w:ascii="Calibri" w:hAnsi="Calibri"/>
          <w:sz w:val="22"/>
        </w:rPr>
        <w:t>Related claim conclusion and optional risk-profile reference.</w:t>
      </w:r>
    </w:p>
    <w:p>
      <w:pPr>
        <w:pStyle w:val="ListBullet"/>
      </w:pPr>
      <w:r>
        <w:rPr>
          <w:rFonts w:ascii="Calibri" w:hAnsi="Calibri"/>
          <w:sz w:val="22"/>
        </w:rPr>
        <w:t>Recommendation and acceptance criteria.</w:t>
      </w:r>
    </w:p>
    <w:p>
      <w:pPr>
        <w:pStyle w:val="ListBullet"/>
      </w:pPr>
      <w:r>
        <w:rPr>
          <w:rFonts w:ascii="Calibri" w:hAnsi="Calibri"/>
          <w:sz w:val="22"/>
        </w:rPr>
        <w:t>Limitations and confidence.</w:t>
      </w:r>
    </w:p>
    <w:p>
      <w:pPr>
        <w:pStyle w:val="Heading3"/>
      </w:pPr>
      <w:r>
        <w:rPr>
          <w:rFonts w:ascii="Calibri" w:hAnsi="Calibri"/>
          <w:color w:val="1F4D78"/>
          <w:sz w:val="24"/>
        </w:rPr>
        <w:t>4.10 Mapping</w:t>
      </w:r>
    </w:p>
    <w:p>
      <w:pPr>
        <w:pStyle w:val="ListBullet"/>
      </w:pPr>
      <w:r>
        <w:rPr>
          <w:rFonts w:ascii="Calibri" w:hAnsi="Calibri"/>
          <w:sz w:val="22"/>
        </w:rPr>
        <w:t>ID, finding reference, framework, version/access date.</w:t>
      </w:r>
    </w:p>
    <w:p>
      <w:pPr>
        <w:pStyle w:val="ListBullet"/>
      </w:pPr>
      <w:r>
        <w:rPr>
          <w:rFonts w:ascii="Calibri" w:hAnsi="Calibri"/>
          <w:sz w:val="22"/>
        </w:rPr>
        <w:t>External ID, name, URL, mapping state, and rationale.</w:t>
      </w:r>
    </w:p>
    <w:p>
      <w:pPr>
        <w:pStyle w:val="Heading3"/>
      </w:pPr>
      <w:r>
        <w:rPr>
          <w:rFonts w:ascii="Calibri" w:hAnsi="Calibri"/>
          <w:color w:val="1F4D78"/>
          <w:sz w:val="24"/>
        </w:rPr>
        <w:t>4.11 Conclusion</w:t>
      </w:r>
    </w:p>
    <w:p>
      <w:pPr>
        <w:pStyle w:val="ListBullet"/>
      </w:pPr>
      <w:r>
        <w:rPr>
          <w:rFonts w:ascii="Calibri" w:hAnsi="Calibri"/>
          <w:sz w:val="22"/>
        </w:rPr>
        <w:t>ID and level: investigation or assessment.</w:t>
      </w:r>
    </w:p>
    <w:p>
      <w:pPr>
        <w:pStyle w:val="ListBullet"/>
      </w:pPr>
      <w:r>
        <w:rPr>
          <w:rFonts w:ascii="Calibri" w:hAnsi="Calibri"/>
          <w:sz w:val="22"/>
        </w:rPr>
        <w:t>Value: Meets, Does Not Meet, Inconclusive, or Not Assessed.</w:t>
      </w:r>
    </w:p>
    <w:p>
      <w:pPr>
        <w:pStyle w:val="ListBullet"/>
      </w:pPr>
      <w:r>
        <w:rPr>
          <w:rFonts w:ascii="Calibri" w:hAnsi="Calibri"/>
          <w:sz w:val="22"/>
        </w:rPr>
        <w:t>Confidence: High, Medium, or Low.</w:t>
      </w:r>
    </w:p>
    <w:p>
      <w:pPr>
        <w:pStyle w:val="ListBullet"/>
      </w:pPr>
      <w:r>
        <w:rPr>
          <w:rFonts w:ascii="Calibri" w:hAnsi="Calibri"/>
          <w:sz w:val="22"/>
        </w:rPr>
        <w:t>Required action and priority.</w:t>
      </w:r>
    </w:p>
    <w:p>
      <w:pPr>
        <w:pStyle w:val="ListBullet"/>
      </w:pPr>
      <w:r>
        <w:rPr>
          <w:rFonts w:ascii="Calibri" w:hAnsi="Calibri"/>
          <w:sz w:val="22"/>
        </w:rPr>
        <w:t>Exact scope boundary and evidence-based rationale.</w:t>
      </w:r>
    </w:p>
    <w:p>
      <w:pPr>
        <w:pStyle w:val="ListBullet"/>
      </w:pPr>
      <w:r>
        <w:rPr>
          <w:rFonts w:ascii="Calibri" w:hAnsi="Calibri"/>
          <w:sz w:val="22"/>
        </w:rPr>
        <w:t>Gating claims and aggregation rule for an assessment-level conclusion.</w:t>
      </w:r>
    </w:p>
    <w:p>
      <w:pPr>
        <w:pStyle w:val="Heading3"/>
      </w:pPr>
      <w:r>
        <w:rPr>
          <w:rFonts w:ascii="Calibri" w:hAnsi="Calibri"/>
          <w:color w:val="1F4D78"/>
          <w:sz w:val="24"/>
        </w:rPr>
        <w:t>4.12 Optional Risk Profile</w:t>
      </w:r>
    </w:p>
    <w:p>
      <w:pPr>
        <w:pStyle w:val="ListBullet"/>
      </w:pPr>
      <w:r>
        <w:rPr>
          <w:rFonts w:ascii="Calibri" w:hAnsi="Calibri"/>
          <w:sz w:val="22"/>
        </w:rPr>
        <w:t>ID, profile name/version, and finding/scenario reference.</w:t>
      </w:r>
    </w:p>
    <w:p>
      <w:pPr>
        <w:pStyle w:val="ListBullet"/>
      </w:pPr>
      <w:r>
        <w:rPr>
          <w:rFonts w:ascii="Calibri" w:hAnsi="Calibri"/>
          <w:sz w:val="22"/>
        </w:rPr>
        <w:t>Profile-defined values and rationale.</w:t>
      </w:r>
    </w:p>
    <w:p>
      <w:pPr>
        <w:pStyle w:val="ListBullet"/>
      </w:pPr>
      <w:r>
        <w:rPr>
          <w:rFonts w:ascii="Calibri" w:hAnsi="Calibri"/>
          <w:sz w:val="22"/>
        </w:rPr>
        <w:t>Credited controls and evidence.</w:t>
      </w:r>
    </w:p>
    <w:p>
      <w:pPr>
        <w:pStyle w:val="ListBullet"/>
      </w:pPr>
      <w:r>
        <w:rPr>
          <w:rFonts w:ascii="Calibri" w:hAnsi="Calibri"/>
          <w:sz w:val="22"/>
        </w:rPr>
        <w:t>Confidence, owner, treatment, and acceptance state.</w:t>
      </w:r>
    </w:p>
    <w:p>
      <w:pPr>
        <w:pStyle w:val="Heading3"/>
      </w:pPr>
      <w:r>
        <w:rPr>
          <w:rFonts w:ascii="Calibri" w:hAnsi="Calibri"/>
          <w:color w:val="1F4D78"/>
          <w:sz w:val="24"/>
        </w:rPr>
        <w:t>4.13 Assurance</w:t>
      </w:r>
    </w:p>
    <w:p>
      <w:pPr>
        <w:pStyle w:val="ListBullet"/>
      </w:pPr>
      <w:r>
        <w:rPr>
          <w:rFonts w:ascii="Calibri" w:hAnsi="Calibri"/>
          <w:sz w:val="22"/>
        </w:rPr>
        <w:t>ID, claim reference, conclusion, confidence.</w:t>
      </w:r>
    </w:p>
    <w:p>
      <w:pPr>
        <w:pStyle w:val="ListBullet"/>
      </w:pPr>
      <w:r>
        <w:rPr>
          <w:rFonts w:ascii="Calibri" w:hAnsi="Calibri"/>
          <w:sz w:val="22"/>
        </w:rPr>
        <w:t>Supporting methods and evidence.</w:t>
      </w:r>
    </w:p>
    <w:p>
      <w:pPr>
        <w:pStyle w:val="ListBullet"/>
      </w:pPr>
      <w:r>
        <w:rPr>
          <w:rFonts w:ascii="Calibri" w:hAnsi="Calibri"/>
          <w:sz w:val="22"/>
        </w:rPr>
        <w:t>Coverage statement, limitations, and expiration/review trigger.</w:t>
      </w:r>
    </w:p>
    <w:p>
      <w:pPr>
        <w:pStyle w:val="Heading2"/>
      </w:pPr>
      <w:r>
        <w:rPr>
          <w:rFonts w:ascii="Calibri" w:hAnsi="Calibri"/>
          <w:color w:val="2E74B5"/>
          <w:sz w:val="26"/>
        </w:rPr>
        <w:t>5. Canonical Finding Example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pPr>
            <w:r>
              <w:rPr>
                <w:rFonts w:ascii="Courier New" w:hAnsi="Courier New"/>
                <w:color w:val="0B2545"/>
                <w:sz w:val="17"/>
              </w:rPr>
              <w:t>finding:</w:t>
              <w:br/>
              <w:t xml:space="preserve">  id: FND-001</w:t>
              <w:br/>
              <w:t xml:space="preserve">  title: Unbounded telemetry frame length causes parser memory corruption</w:t>
              <w:br/>
              <w:t xml:space="preserve">  state: confirmed</w:t>
              <w:br/>
              <w:t xml:space="preserve">  fari_conclusion: does_not_meet</w:t>
              <w:br/>
              <w:t xml:space="preserve">  affected_assets: [AST-SV-FSW-001]</w:t>
              <w:br/>
              <w:t xml:space="preserve">  mission_objectives: [OBJ-001]</w:t>
              <w:br/>
              <w:t xml:space="preserve">  condition: The parser copies a caller-controlled frame length into a fixed buffer.</w:t>
              <w:br/>
              <w:t xml:space="preserve">  preconditions:</w:t>
              <w:br/>
              <w:t xml:space="preserve">    - Attacker can deliver a syntactically accepted frame to the parser.</w:t>
              <w:br/>
              <w:t xml:space="preserve">  technical_effect: Command-handling process terminates.</w:t>
              <w:br/>
              <w:t xml:space="preserve">  mission_consequence: Temporary loss of command processing until recovery.</w:t>
              <w:br/>
              <w:t xml:space="preserve">  method_runs: [RUN-QEMU-001]</w:t>
              <w:br/>
              <w:t xml:space="preserve">  evidence: [EVD-001, EVD-002]</w:t>
              <w:br/>
              <w:t xml:space="preserve">  mappings: [MAP-001]</w:t>
              <w:br/>
              <w:t xml:space="preserve">  required_action: remediate</w:t>
              <w:br/>
              <w:t xml:space="preserve">  confidence: medium</w:t>
              <w:br/>
              <w:t xml:space="preserve">  limitations:</w:t>
              <w:br/>
              <w:t xml:space="preserve">    - Reproduced in QEMU; hardware timing and RF delivery were not assessed.</w:t>
            </w:r>
          </w:p>
        </w:tc>
      </w:tr>
    </w:tbl>
    <w:p>
      <w:pPr>
        <w:pStyle w:val="Heading2"/>
      </w:pPr>
      <w:r>
        <w:rPr>
          <w:rFonts w:ascii="Calibri" w:hAnsi="Calibri"/>
          <w:color w:val="2E74B5"/>
          <w:sz w:val="26"/>
        </w:rPr>
        <w:t>6. Data Quality Rules</w:t>
      </w:r>
    </w:p>
    <w:p>
      <w:pPr>
        <w:pStyle w:val="ListBullet"/>
      </w:pPr>
      <w:r>
        <w:rPr>
          <w:rFonts w:ascii="Calibri" w:hAnsi="Calibri"/>
          <w:sz w:val="22"/>
        </w:rPr>
        <w:t>No confirmed finding without evidence.</w:t>
      </w:r>
    </w:p>
    <w:p>
      <w:pPr>
        <w:pStyle w:val="ListBullet"/>
      </w:pPr>
      <w:r>
        <w:rPr>
          <w:rFonts w:ascii="Calibri" w:hAnsi="Calibri"/>
          <w:sz w:val="22"/>
        </w:rPr>
        <w:t>No requirement for an external evidence producer to create a FARI record.</w:t>
      </w:r>
    </w:p>
    <w:p>
      <w:pPr>
        <w:pStyle w:val="ListBullet"/>
      </w:pPr>
      <w:r>
        <w:rPr>
          <w:rFonts w:ascii="Calibri" w:hAnsi="Calibri"/>
          <w:sz w:val="22"/>
        </w:rPr>
        <w:t>No assumption, assertion, or inference presented as an observed fact.</w:t>
      </w:r>
    </w:p>
    <w:p>
      <w:pPr>
        <w:pStyle w:val="ListBullet"/>
      </w:pPr>
      <w:r>
        <w:rPr>
          <w:rFonts w:ascii="Calibri" w:hAnsi="Calibri"/>
          <w:sz w:val="22"/>
        </w:rPr>
        <w:t>No unresolved contradiction omitted from the report.</w:t>
      </w:r>
    </w:p>
    <w:p>
      <w:pPr>
        <w:pStyle w:val="ListBullet"/>
      </w:pPr>
      <w:r>
        <w:rPr>
          <w:rFonts w:ascii="Calibri" w:hAnsi="Calibri"/>
          <w:sz w:val="22"/>
        </w:rPr>
        <w:t>No investigation report without a FARI Result Card.</w:t>
      </w:r>
    </w:p>
    <w:p>
      <w:pPr>
        <w:pStyle w:val="ListBullet"/>
      </w:pPr>
      <w:r>
        <w:rPr>
          <w:rFonts w:ascii="Calibri" w:hAnsi="Calibri"/>
          <w:sz w:val="22"/>
        </w:rPr>
        <w:t>No consolidated assessment conclusion without declared gating claims and an aggregation rationale.</w:t>
      </w:r>
    </w:p>
    <w:p>
      <w:pPr>
        <w:pStyle w:val="ListBullet"/>
      </w:pPr>
      <w:r>
        <w:rPr>
          <w:rFonts w:ascii="Calibri" w:hAnsi="Calibri"/>
          <w:sz w:val="22"/>
        </w:rPr>
        <w:t>No optional risk rating without a mission-consequence rationale.</w:t>
      </w:r>
    </w:p>
    <w:p>
      <w:pPr>
        <w:pStyle w:val="ListBullet"/>
      </w:pPr>
      <w:r>
        <w:rPr>
          <w:rFonts w:ascii="Calibri" w:hAnsi="Calibri"/>
          <w:sz w:val="22"/>
        </w:rPr>
        <w:t>No credited control without evidence of implementation and relevance.</w:t>
      </w:r>
    </w:p>
    <w:p>
      <w:pPr>
        <w:pStyle w:val="ListBullet"/>
      </w:pPr>
      <w:r>
        <w:rPr>
          <w:rFonts w:ascii="Calibri" w:hAnsi="Calibri"/>
          <w:sz w:val="22"/>
        </w:rPr>
        <w:t>No executive assurance claim without coverage and confidence.</w:t>
      </w:r>
    </w:p>
    <w:p>
      <w:pPr>
        <w:pStyle w:val="ListBullet"/>
      </w:pPr>
      <w:r>
        <w:rPr>
          <w:rFonts w:ascii="Calibri" w:hAnsi="Calibri"/>
          <w:sz w:val="22"/>
        </w:rPr>
        <w:t>No external mapping without a framework version/access date and rationale.</w:t>
      </w:r>
    </w:p>
    <w:p>
      <w:pPr>
        <w:pStyle w:val="ListBullet"/>
      </w:pPr>
      <w:r>
        <w:rPr>
          <w:rFonts w:ascii="Calibri" w:hAnsi="Calibri"/>
          <w:sz w:val="22"/>
        </w:rPr>
        <w:t>No deletion of superseded records; mark them superseded and preserve history.</w:t>
      </w:r>
    </w:p>
    <w:p>
      <w:pPr>
        <w:pStyle w:val="Heading2"/>
      </w:pPr>
      <w:r>
        <w:rPr>
          <w:rFonts w:ascii="Calibri" w:hAnsi="Calibri"/>
          <w:color w:val="2E74B5"/>
          <w:sz w:val="26"/>
        </w:rPr>
        <w:t>7. Future Tooling</w:t>
      </w:r>
    </w:p>
    <w:p>
      <w:r>
        <w:rPr>
          <w:rFonts w:ascii="Calibri" w:hAnsi="Calibri"/>
          <w:sz w:val="22"/>
        </w:rPr>
        <w:t>A future FARI web application can use this model to:</w:t>
      </w:r>
    </w:p>
    <w:p>
      <w:pPr>
        <w:pStyle w:val="ListBullet"/>
      </w:pPr>
      <w:r>
        <w:rPr>
          <w:rFonts w:ascii="Calibri" w:hAnsi="Calibri"/>
          <w:sz w:val="22"/>
        </w:rPr>
        <w:t>Guide assessment intake and scoping.</w:t>
      </w:r>
    </w:p>
    <w:p>
      <w:pPr>
        <w:pStyle w:val="ListBullet"/>
      </w:pPr>
      <w:r>
        <w:rPr>
          <w:rFonts w:ascii="Calibri" w:hAnsi="Calibri"/>
          <w:sz w:val="22"/>
        </w:rPr>
        <w:t>Accept arbitrary files and notes from auditor-selected methods.</w:t>
      </w:r>
    </w:p>
    <w:p>
      <w:pPr>
        <w:pStyle w:val="ListBullet"/>
      </w:pPr>
      <w:r>
        <w:rPr>
          <w:rFonts w:ascii="Calibri" w:hAnsi="Calibri"/>
          <w:sz w:val="22"/>
        </w:rPr>
        <w:t>Guide the Report Author through normalization without exposing FARI duties to an external auditor.</w:t>
      </w:r>
    </w:p>
    <w:p>
      <w:pPr>
        <w:pStyle w:val="ListBullet"/>
      </w:pPr>
      <w:r>
        <w:rPr>
          <w:rFonts w:ascii="Calibri" w:hAnsi="Calibri"/>
          <w:sz w:val="22"/>
        </w:rPr>
        <w:t>Validate required fields and traceability.</w:t>
      </w:r>
    </w:p>
    <w:p>
      <w:pPr>
        <w:pStyle w:val="ListBullet"/>
      </w:pPr>
      <w:r>
        <w:rPr>
          <w:rFonts w:ascii="Calibri" w:hAnsi="Calibri"/>
          <w:sz w:val="22"/>
        </w:rPr>
        <w:t>Browse the asset graph and attack paths.</w:t>
      </w:r>
    </w:p>
    <w:p>
      <w:pPr>
        <w:pStyle w:val="ListBullet"/>
      </w:pPr>
      <w:r>
        <w:rPr>
          <w:rFonts w:ascii="Calibri" w:hAnsi="Calibri"/>
          <w:sz w:val="22"/>
        </w:rPr>
        <w:t>Maintain SPARTA mappings.</w:t>
      </w:r>
    </w:p>
    <w:p>
      <w:pPr>
        <w:pStyle w:val="ListBullet"/>
      </w:pPr>
      <w:r>
        <w:rPr>
          <w:rFonts w:ascii="Calibri" w:hAnsi="Calibri"/>
          <w:sz w:val="22"/>
        </w:rPr>
        <w:t>Generate individual investigation reports, one consolidated assessment report, and conclusion, coverage, remediation, and executive views.</w:t>
      </w:r>
    </w:p>
    <w:p>
      <w:r>
        <w:rPr>
          <w:rFonts w:ascii="Calibri" w:hAnsi="Calibri"/>
          <w:sz w:val="22"/>
        </w:rPr>
        <w:t>The application should automate consistency, not replace assessor judgment.</w:t>
      </w:r>
    </w:p>
    <w:p>
      <w:r>
        <w:br w:type="page"/>
      </w:r>
    </w:p>
    <w:p>
      <w:pPr>
        <w:pStyle w:val="Heading1"/>
      </w:pPr>
      <w:r>
        <w:rPr>
          <w:rFonts w:ascii="Calibri" w:hAnsi="Calibri"/>
          <w:color w:val="2E74B5"/>
          <w:sz w:val="32"/>
        </w:rPr>
        <w:t>Appendix C: Progressive Examples</w:t>
      </w:r>
    </w:p>
    <w:p>
      <w:pPr>
        <w:pStyle w:val="Heading1"/>
      </w:pPr>
      <w:r>
        <w:rPr>
          <w:rFonts w:ascii="Calibri" w:hAnsi="Calibri"/>
          <w:color w:val="2E74B5"/>
          <w:sz w:val="32"/>
        </w:rPr>
        <w:t>Example 1: Minimal Source Review</w:t>
      </w:r>
    </w:p>
    <w:p>
      <w:pPr>
        <w:pStyle w:val="Heading2"/>
      </w:pPr>
      <w:r>
        <w:rPr>
          <w:rFonts w:ascii="Calibri" w:hAnsi="Calibri"/>
          <w:color w:val="2E74B5"/>
          <w:sz w:val="26"/>
        </w:rPr>
        <w:t>Scenario</w:t>
      </w:r>
    </w:p>
    <w:p>
      <w:r>
        <w:rPr>
          <w:rFonts w:ascii="Calibri" w:hAnsi="Calibri"/>
          <w:sz w:val="22"/>
        </w:rPr>
        <w:t>A supplier provides source code for a telemetry parsing library, build instructions, and unit tests. No target hardware, full flight image, RF interface, or mission architecture is available.</w:t>
      </w:r>
    </w:p>
    <w:p>
      <w:pPr>
        <w:pStyle w:val="Heading2"/>
      </w:pPr>
      <w:r>
        <w:rPr>
          <w:rFonts w:ascii="Calibri" w:hAnsi="Calibri"/>
          <w:color w:val="2E74B5"/>
          <w:sz w:val="26"/>
        </w:rPr>
        <w:t>Frame</w:t>
      </w:r>
    </w:p>
    <w:p>
      <w:pPr>
        <w:pStyle w:val="ListBullet"/>
      </w:pPr>
      <w:r>
        <w:rPr>
          <w:rFonts w:ascii="Calibri" w:hAnsi="Calibri"/>
          <w:b/>
          <w:sz w:val="22"/>
        </w:rPr>
        <w:t>Assessment:</w:t>
      </w:r>
      <w:r>
        <w:rPr>
          <w:rFonts w:ascii="Calibri" w:hAnsi="Calibri"/>
          <w:sz w:val="22"/>
        </w:rPr>
        <w:t xml:space="preserve"> </w:t>
      </w:r>
      <w:r>
        <w:rPr>
          <w:rFonts w:ascii="Courier New" w:hAnsi="Courier New"/>
          <w:color w:val="1F4D78"/>
          <w:sz w:val="20"/>
        </w:rPr>
        <w:t>ASM-2026-001</w:t>
      </w:r>
    </w:p>
    <w:p>
      <w:pPr>
        <w:pStyle w:val="ListBullet"/>
      </w:pPr>
      <w:r>
        <w:rPr>
          <w:rFonts w:ascii="Calibri" w:hAnsi="Calibri"/>
          <w:b/>
          <w:sz w:val="22"/>
        </w:rPr>
        <w:t>Asset:</w:t>
      </w:r>
      <w:r>
        <w:rPr>
          <w:rFonts w:ascii="Calibri" w:hAnsi="Calibri"/>
          <w:sz w:val="22"/>
        </w:rPr>
        <w:t xml:space="preserve"> </w:t>
      </w:r>
      <w:r>
        <w:rPr>
          <w:rFonts w:ascii="Courier New" w:hAnsi="Courier New"/>
          <w:color w:val="1F4D78"/>
          <w:sz w:val="20"/>
        </w:rPr>
        <w:t>AST-SV-LIB-001</w:t>
      </w:r>
      <w:r>
        <w:rPr>
          <w:rFonts w:ascii="Calibri" w:hAnsi="Calibri"/>
          <w:sz w:val="22"/>
        </w:rPr>
        <w:t xml:space="preserve"> Telemetry parsing library</w:t>
      </w:r>
    </w:p>
    <w:p>
      <w:pPr>
        <w:pStyle w:val="ListBullet"/>
      </w:pPr>
      <w:r>
        <w:rPr>
          <w:rFonts w:ascii="Calibri" w:hAnsi="Calibri"/>
          <w:b/>
          <w:sz w:val="22"/>
        </w:rPr>
        <w:t>Segment:</w:t>
      </w:r>
      <w:r>
        <w:rPr>
          <w:rFonts w:ascii="Calibri" w:hAnsi="Calibri"/>
          <w:sz w:val="22"/>
        </w:rPr>
        <w:t xml:space="preserve"> Space</w:t>
      </w:r>
    </w:p>
    <w:p>
      <w:pPr>
        <w:pStyle w:val="ListBullet"/>
      </w:pPr>
      <w:r>
        <w:rPr>
          <w:rFonts w:ascii="Calibri" w:hAnsi="Calibri"/>
          <w:b/>
          <w:sz w:val="22"/>
        </w:rPr>
        <w:t>Access:</w:t>
      </w:r>
      <w:r>
        <w:rPr>
          <w:rFonts w:ascii="Calibri" w:hAnsi="Calibri"/>
          <w:sz w:val="22"/>
        </w:rPr>
        <w:t xml:space="preserve"> White box</w:t>
      </w:r>
    </w:p>
    <w:p>
      <w:pPr>
        <w:pStyle w:val="ListBullet"/>
      </w:pPr>
      <w:r>
        <w:rPr>
          <w:rFonts w:ascii="Calibri" w:hAnsi="Calibri"/>
          <w:b/>
          <w:sz w:val="22"/>
        </w:rPr>
        <w:t>Environment:</w:t>
      </w:r>
      <w:r>
        <w:rPr>
          <w:rFonts w:ascii="Calibri" w:hAnsi="Calibri"/>
          <w:sz w:val="22"/>
        </w:rPr>
        <w:t xml:space="preserve"> Static/offline analysis</w:t>
      </w:r>
    </w:p>
    <w:p>
      <w:pPr>
        <w:pStyle w:val="ListBullet"/>
      </w:pPr>
      <w:r>
        <w:rPr>
          <w:rFonts w:ascii="Calibri" w:hAnsi="Calibri"/>
          <w:b/>
          <w:sz w:val="22"/>
        </w:rPr>
        <w:t>Claim `CLM-001`:</w:t>
      </w:r>
      <w:r>
        <w:rPr>
          <w:rFonts w:ascii="Calibri" w:hAnsi="Calibri"/>
          <w:sz w:val="22"/>
        </w:rPr>
        <w:t xml:space="preserve"> Malformed packet lengths cannot cause the library to write outside its destination buffer.</w:t>
      </w:r>
    </w:p>
    <w:p>
      <w:pPr>
        <w:pStyle w:val="ListBullet"/>
      </w:pPr>
      <w:r>
        <w:rPr>
          <w:rFonts w:ascii="Calibri" w:hAnsi="Calibri"/>
          <w:b/>
          <w:sz w:val="22"/>
        </w:rPr>
        <w:t>Explicit exclusions:</w:t>
      </w:r>
      <w:r>
        <w:rPr>
          <w:rFonts w:ascii="Calibri" w:hAnsi="Calibri"/>
          <w:sz w:val="22"/>
        </w:rPr>
        <w:t xml:space="preserve"> Runtime integration, compiler hardening, hardware behavior, RF reachability, and mission consequence validation.</w:t>
      </w:r>
    </w:p>
    <w:p>
      <w:pPr>
        <w:pStyle w:val="Heading2"/>
      </w:pPr>
      <w:r>
        <w:rPr>
          <w:rFonts w:ascii="Calibri" w:hAnsi="Calibri"/>
          <w:color w:val="2E74B5"/>
          <w:sz w:val="26"/>
        </w:rPr>
        <w:t>Acquire</w:t>
      </w:r>
    </w:p>
    <w:p>
      <w:r>
        <w:rPr>
          <w:rFonts w:ascii="Courier New" w:hAnsi="Courier New"/>
          <w:color w:val="1F4D78"/>
          <w:sz w:val="20"/>
        </w:rPr>
        <w:t>RUN-SRC-001</w:t>
      </w:r>
      <w:r>
        <w:rPr>
          <w:rFonts w:ascii="Calibri" w:hAnsi="Calibri"/>
          <w:sz w:val="22"/>
        </w:rPr>
        <w:t xml:space="preserve"> uses the assessor's preferred secure-code-review method. It finds that a packet-controlled length is copied into a fixed-size destination without an upper-bound check.</w:t>
      </w:r>
    </w:p>
    <w:p>
      <w:r>
        <w:rPr>
          <w:rFonts w:ascii="Calibri" w:hAnsi="Calibri"/>
          <w:sz w:val="22"/>
        </w:rPr>
        <w:t>Evidence:</w:t>
      </w:r>
    </w:p>
    <w:p>
      <w:pPr>
        <w:pStyle w:val="ListBullet"/>
      </w:pPr>
      <w:r>
        <w:rPr>
          <w:rFonts w:ascii="Courier New" w:hAnsi="Courier New"/>
          <w:color w:val="1F4D78"/>
          <w:sz w:val="20"/>
        </w:rPr>
        <w:t>EVD-001</w:t>
      </w:r>
      <w:r>
        <w:rPr>
          <w:rFonts w:ascii="Calibri" w:hAnsi="Calibri"/>
          <w:sz w:val="22"/>
        </w:rPr>
        <w:t>: source reference and annotated data flow.</w:t>
      </w:r>
    </w:p>
    <w:p>
      <w:pPr>
        <w:pStyle w:val="ListBullet"/>
      </w:pPr>
      <w:r>
        <w:rPr>
          <w:rFonts w:ascii="Courier New" w:hAnsi="Courier New"/>
          <w:color w:val="1F4D78"/>
          <w:sz w:val="20"/>
        </w:rPr>
        <w:t>EVD-002</w:t>
      </w:r>
      <w:r>
        <w:rPr>
          <w:rFonts w:ascii="Calibri" w:hAnsi="Calibri"/>
          <w:sz w:val="22"/>
        </w:rPr>
        <w:t>: unit-test case demonstrating overwrite under a host build.</w:t>
      </w:r>
    </w:p>
    <w:p>
      <w:pPr>
        <w:pStyle w:val="Heading2"/>
      </w:pPr>
      <w:r>
        <w:rPr>
          <w:rFonts w:ascii="Calibri" w:hAnsi="Calibri"/>
          <w:color w:val="2E74B5"/>
          <w:sz w:val="26"/>
        </w:rPr>
        <w:t>Relate</w:t>
      </w:r>
    </w:p>
    <w:p>
      <w:pPr>
        <w:pStyle w:val="Heading3"/>
      </w:pPr>
      <w:r>
        <w:rPr>
          <w:rFonts w:ascii="Calibri" w:hAnsi="Calibri"/>
          <w:color w:val="1F4D78"/>
          <w:sz w:val="24"/>
        </w:rPr>
        <w:t>Normalized Finding</w:t>
      </w:r>
    </w:p>
    <w:p>
      <w:pPr>
        <w:pStyle w:val="ListBullet"/>
      </w:pPr>
      <w:r>
        <w:rPr>
          <w:rFonts w:ascii="Calibri" w:hAnsi="Calibri"/>
          <w:b/>
          <w:sz w:val="22"/>
        </w:rPr>
        <w:t>Finding:</w:t>
      </w:r>
      <w:r>
        <w:rPr>
          <w:rFonts w:ascii="Calibri" w:hAnsi="Calibri"/>
          <w:sz w:val="22"/>
        </w:rPr>
        <w:t xml:space="preserve"> </w:t>
      </w:r>
      <w:r>
        <w:rPr>
          <w:rFonts w:ascii="Courier New" w:hAnsi="Courier New"/>
          <w:color w:val="1F4D78"/>
          <w:sz w:val="20"/>
        </w:rPr>
        <w:t>FND-001</w:t>
      </w:r>
      <w:r>
        <w:rPr>
          <w:rFonts w:ascii="Calibri" w:hAnsi="Calibri"/>
          <w:sz w:val="22"/>
        </w:rPr>
        <w:t xml:space="preserve"> Unbounded telemetry frame length permits memory corruption.</w:t>
      </w:r>
    </w:p>
    <w:p>
      <w:pPr>
        <w:pStyle w:val="ListBullet"/>
      </w:pPr>
      <w:r>
        <w:rPr>
          <w:rFonts w:ascii="Calibri" w:hAnsi="Calibri"/>
          <w:b/>
          <w:sz w:val="22"/>
        </w:rPr>
        <w:t>State:</w:t>
      </w:r>
      <w:r>
        <w:rPr>
          <w:rFonts w:ascii="Calibri" w:hAnsi="Calibri"/>
          <w:sz w:val="22"/>
        </w:rPr>
        <w:t xml:space="preserve"> Confirmed.</w:t>
      </w:r>
    </w:p>
    <w:p>
      <w:pPr>
        <w:pStyle w:val="ListBullet"/>
      </w:pPr>
      <w:r>
        <w:rPr>
          <w:rFonts w:ascii="Calibri" w:hAnsi="Calibri"/>
          <w:b/>
          <w:sz w:val="22"/>
        </w:rPr>
        <w:t>Observed effect:</w:t>
      </w:r>
      <w:r>
        <w:rPr>
          <w:rFonts w:ascii="Calibri" w:hAnsi="Calibri"/>
          <w:sz w:val="22"/>
        </w:rPr>
        <w:t xml:space="preserve"> Memory overwrite in a host unit-test build.</w:t>
      </w:r>
    </w:p>
    <w:p>
      <w:pPr>
        <w:pStyle w:val="ListBullet"/>
      </w:pPr>
      <w:r>
        <w:rPr>
          <w:rFonts w:ascii="Calibri" w:hAnsi="Calibri"/>
          <w:b/>
          <w:sz w:val="22"/>
        </w:rPr>
        <w:t>SPARTA candidate:</w:t>
      </w:r>
      <w:r>
        <w:rPr>
          <w:rFonts w:ascii="Calibri" w:hAnsi="Calibri"/>
          <w:sz w:val="22"/>
        </w:rPr>
        <w:t xml:space="preserve"> </w:t>
      </w:r>
      <w:r>
        <w:rPr>
          <w:rFonts w:ascii="Courier New" w:hAnsi="Courier New"/>
          <w:color w:val="1F4D78"/>
          <w:sz w:val="20"/>
        </w:rPr>
        <w:t>EX-0009 Exploit Code Flaws</w:t>
      </w:r>
      <w:r>
        <w:rPr>
          <w:rFonts w:ascii="Calibri" w:hAnsi="Calibri"/>
          <w:sz w:val="22"/>
        </w:rPr>
        <w:t>.</w:t>
      </w:r>
    </w:p>
    <w:p>
      <w:pPr>
        <w:pStyle w:val="ListBullet"/>
      </w:pPr>
      <w:r>
        <w:rPr>
          <w:rFonts w:ascii="Calibri" w:hAnsi="Calibri"/>
          <w:b/>
          <w:sz w:val="22"/>
        </w:rPr>
        <w:t>Mapping state:</w:t>
      </w:r>
      <w:r>
        <w:rPr>
          <w:rFonts w:ascii="Calibri" w:hAnsi="Calibri"/>
          <w:sz w:val="22"/>
        </w:rPr>
        <w:t xml:space="preserve"> Candidate, because spacecraft execution and effect were not demonstrated.</w:t>
      </w:r>
    </w:p>
    <w:p>
      <w:pPr>
        <w:pStyle w:val="ListBullet"/>
      </w:pPr>
      <w:r>
        <w:rPr>
          <w:rFonts w:ascii="Calibri" w:hAnsi="Calibri"/>
          <w:b/>
          <w:sz w:val="22"/>
        </w:rPr>
        <w:t>Risk:</w:t>
      </w:r>
      <w:r>
        <w:rPr>
          <w:rFonts w:ascii="Calibri" w:hAnsi="Calibri"/>
          <w:sz w:val="22"/>
        </w:rPr>
        <w:t xml:space="preserve"> High-consequence potential, but likelihood and actual mission consequence cannot be confidently established without integration context.</w:t>
      </w:r>
    </w:p>
    <w:p>
      <w:pPr>
        <w:pStyle w:val="ListBullet"/>
      </w:pPr>
      <w:r>
        <w:rPr>
          <w:rFonts w:ascii="Calibri" w:hAnsi="Calibri"/>
          <w:b/>
          <w:sz w:val="22"/>
        </w:rPr>
        <w:t>Confidence:</w:t>
      </w:r>
      <w:r>
        <w:rPr>
          <w:rFonts w:ascii="Calibri" w:hAnsi="Calibri"/>
          <w:sz w:val="22"/>
        </w:rPr>
        <w:t xml:space="preserve"> High for the code defect; low for mission consequence.</w:t>
      </w:r>
    </w:p>
    <w:p>
      <w:pPr>
        <w:pStyle w:val="Heading2"/>
      </w:pPr>
      <w:r>
        <w:rPr>
          <w:rFonts w:ascii="Calibri" w:hAnsi="Calibri"/>
          <w:color w:val="2E74B5"/>
          <w:sz w:val="26"/>
        </w:rPr>
        <w:t>Inform</w:t>
      </w:r>
    </w:p>
    <w:p>
      <w:pPr>
        <w:pStyle w:val="Heading3"/>
      </w:pPr>
      <w:r>
        <w:rPr>
          <w:rFonts w:ascii="Calibri" w:hAnsi="Calibri"/>
          <w:color w:val="1F4D78"/>
          <w:sz w:val="24"/>
        </w:rPr>
        <w:t>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Conclusion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High in the reviewed source and host unit-test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integration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Telemetry parsing library source and supplied host tests only</w:t>
            </w:r>
          </w:p>
        </w:tc>
      </w:tr>
    </w:tbl>
    <w:p>
      <w:pPr>
        <w:spacing w:after="20"/>
      </w:pPr>
    </w:p>
    <w:p>
      <w:pPr>
        <w:pStyle w:val="Heading3"/>
      </w:pPr>
      <w:r>
        <w:rPr>
          <w:rFonts w:ascii="Calibri" w:hAnsi="Calibri"/>
          <w:color w:val="1F4D78"/>
          <w:sz w:val="24"/>
        </w:rPr>
        <w:t>Recommendation</w:t>
      </w:r>
    </w:p>
    <w:p>
      <w:r>
        <w:rPr>
          <w:rFonts w:ascii="Calibri" w:hAnsi="Calibri"/>
          <w:sz w:val="22"/>
        </w:rPr>
        <w:t>Add explicit bounds validation, negative tests, and sanitizer-enabled CI. Verify the fix in the integrated flight-software build and a representative runtime environment.</w:t>
      </w: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Claim CLM-001 is not supported. The source and host unit-test evidence confirms a memory-safety defect with high confidence. No conclusion is made about RF exploitability, target-hardware behavior, or mission impact.</w:t>
            </w:r>
          </w:p>
        </w:tc>
      </w:tr>
    </w:tbl>
    <w:p>
      <w:pPr>
        <w:spacing w:after="20"/>
      </w:pPr>
    </w:p>
    <w:p>
      <w:pPr>
        <w:pStyle w:val="Heading3"/>
      </w:pPr>
      <w:r>
        <w:rPr>
          <w:rFonts w:ascii="Calibri" w:hAnsi="Calibri"/>
          <w:color w:val="1F4D78"/>
          <w:sz w:val="24"/>
        </w:rPr>
        <w:t>Why this is useful</w:t>
      </w:r>
    </w:p>
    <w:p>
      <w:r>
        <w:rPr>
          <w:rFonts w:ascii="Calibri" w:hAnsi="Calibri"/>
          <w:sz w:val="22"/>
        </w:rPr>
        <w:t>FARI prevents a narrow source review from being over-reported as a complete spacecraft vulnerability while still preserving a clear, actionable result.</w:t>
      </w:r>
    </w:p>
    <w:p>
      <w:r>
        <w:br w:type="page"/>
      </w:r>
    </w:p>
    <w:p>
      <w:pPr>
        <w:pStyle w:val="Heading1"/>
      </w:pPr>
      <w:r>
        <w:rPr>
          <w:rFonts w:ascii="Calibri" w:hAnsi="Calibri"/>
          <w:color w:val="2E74B5"/>
          <w:sz w:val="32"/>
        </w:rPr>
        <w:t>Example 2: Firmware Assessment with QEMU</w:t>
      </w:r>
    </w:p>
    <w:p>
      <w:pPr>
        <w:pStyle w:val="Heading2"/>
      </w:pPr>
      <w:r>
        <w:rPr>
          <w:rFonts w:ascii="Calibri" w:hAnsi="Calibri"/>
          <w:color w:val="2E74B5"/>
          <w:sz w:val="26"/>
        </w:rPr>
        <w:t>Scenario</w:t>
      </w:r>
    </w:p>
    <w:p>
      <w:r>
        <w:rPr>
          <w:rFonts w:ascii="Calibri" w:hAnsi="Calibri"/>
          <w:sz w:val="22"/>
        </w:rPr>
        <w:t>A satellite operator provides flight-software source, binaries, build instructions, command dictionaries, and partial architecture documentation. Hardware is unavailable. The assessor must emulate the processor and selected interfaces in QEMU.</w:t>
      </w:r>
    </w:p>
    <w:p>
      <w:pPr>
        <w:pStyle w:val="Heading2"/>
      </w:pPr>
      <w:r>
        <w:rPr>
          <w:rFonts w:ascii="Calibri" w:hAnsi="Calibri"/>
          <w:color w:val="2E74B5"/>
          <w:sz w:val="26"/>
        </w:rPr>
        <w:t>Frame</w:t>
      </w:r>
    </w:p>
    <w:p>
      <w:pPr>
        <w:pStyle w:val="ListBullet"/>
      </w:pPr>
      <w:r>
        <w:rPr>
          <w:rFonts w:ascii="Calibri" w:hAnsi="Calibri"/>
          <w:b/>
          <w:sz w:val="22"/>
        </w:rPr>
        <w:t>Assessment:</w:t>
      </w:r>
      <w:r>
        <w:rPr>
          <w:rFonts w:ascii="Calibri" w:hAnsi="Calibri"/>
          <w:sz w:val="22"/>
        </w:rPr>
        <w:t xml:space="preserve"> </w:t>
      </w:r>
      <w:r>
        <w:rPr>
          <w:rFonts w:ascii="Courier New" w:hAnsi="Courier New"/>
          <w:color w:val="1F4D78"/>
          <w:sz w:val="20"/>
        </w:rPr>
        <w:t>ASM-2026-002</w:t>
      </w:r>
    </w:p>
    <w:p>
      <w:pPr>
        <w:pStyle w:val="ListBullet"/>
      </w:pPr>
      <w:r>
        <w:rPr>
          <w:rFonts w:ascii="Calibri" w:hAnsi="Calibri"/>
          <w:b/>
          <w:sz w:val="22"/>
        </w:rPr>
        <w:t>Primary asset:</w:t>
      </w:r>
      <w:r>
        <w:rPr>
          <w:rFonts w:ascii="Calibri" w:hAnsi="Calibri"/>
          <w:sz w:val="22"/>
        </w:rPr>
        <w:t xml:space="preserve"> </w:t>
      </w:r>
      <w:r>
        <w:rPr>
          <w:rFonts w:ascii="Courier New" w:hAnsi="Courier New"/>
          <w:color w:val="1F4D78"/>
          <w:sz w:val="20"/>
        </w:rPr>
        <w:t>AST-SV-FSW-001</w:t>
      </w:r>
      <w:r>
        <w:rPr>
          <w:rFonts w:ascii="Calibri" w:hAnsi="Calibri"/>
          <w:sz w:val="22"/>
        </w:rPr>
        <w:t xml:space="preserve"> Flight-software command-and-data-handling image</w:t>
      </w:r>
    </w:p>
    <w:p>
      <w:pPr>
        <w:pStyle w:val="ListBullet"/>
      </w:pPr>
      <w:r>
        <w:rPr>
          <w:rFonts w:ascii="Calibri" w:hAnsi="Calibri"/>
          <w:b/>
          <w:sz w:val="22"/>
        </w:rPr>
        <w:t>Related asset:</w:t>
      </w:r>
      <w:r>
        <w:rPr>
          <w:rFonts w:ascii="Calibri" w:hAnsi="Calibri"/>
          <w:sz w:val="22"/>
        </w:rPr>
        <w:t xml:space="preserve"> </w:t>
      </w:r>
      <w:r>
        <w:rPr>
          <w:rFonts w:ascii="Courier New" w:hAnsi="Courier New"/>
          <w:color w:val="1F4D78"/>
          <w:sz w:val="20"/>
        </w:rPr>
        <w:t>AST-SV-IF-001</w:t>
      </w:r>
      <w:r>
        <w:rPr>
          <w:rFonts w:ascii="Calibri" w:hAnsi="Calibri"/>
          <w:sz w:val="22"/>
        </w:rPr>
        <w:t xml:space="preserve"> Telecommand input interface</w:t>
      </w:r>
    </w:p>
    <w:p>
      <w:pPr>
        <w:pStyle w:val="ListBullet"/>
      </w:pPr>
      <w:r>
        <w:rPr>
          <w:rFonts w:ascii="Calibri" w:hAnsi="Calibri"/>
          <w:b/>
          <w:sz w:val="22"/>
        </w:rPr>
        <w:t>Access:</w:t>
      </w:r>
      <w:r>
        <w:rPr>
          <w:rFonts w:ascii="Calibri" w:hAnsi="Calibri"/>
          <w:sz w:val="22"/>
        </w:rPr>
        <w:t xml:space="preserve"> White box for software; black box for physical hardware</w:t>
      </w:r>
    </w:p>
    <w:p>
      <w:pPr>
        <w:pStyle w:val="ListBullet"/>
      </w:pPr>
      <w:r>
        <w:rPr>
          <w:rFonts w:ascii="Calibri" w:hAnsi="Calibri"/>
          <w:b/>
          <w:sz w:val="22"/>
        </w:rPr>
        <w:t>Environment:</w:t>
      </w:r>
      <w:r>
        <w:rPr>
          <w:rFonts w:ascii="Calibri" w:hAnsi="Calibri"/>
          <w:sz w:val="22"/>
        </w:rPr>
        <w:t xml:space="preserve"> QEMU with virtual UART and SPI bridges</w:t>
      </w:r>
    </w:p>
    <w:p>
      <w:pPr>
        <w:pStyle w:val="ListBullet"/>
      </w:pPr>
      <w:r>
        <w:rPr>
          <w:rFonts w:ascii="Calibri" w:hAnsi="Calibri"/>
          <w:b/>
          <w:sz w:val="22"/>
        </w:rPr>
        <w:t>Mission objective `OBJ-001`:</w:t>
      </w:r>
      <w:r>
        <w:rPr>
          <w:rFonts w:ascii="Calibri" w:hAnsi="Calibri"/>
          <w:sz w:val="22"/>
        </w:rPr>
        <w:t xml:space="preserve"> Maintain authorized commandability and recoverability.</w:t>
      </w:r>
    </w:p>
    <w:p>
      <w:pPr>
        <w:pStyle w:val="ListBullet"/>
      </w:pPr>
      <w:r>
        <w:rPr>
          <w:rFonts w:ascii="Calibri" w:hAnsi="Calibri"/>
          <w:b/>
          <w:sz w:val="22"/>
        </w:rPr>
        <w:t>Claim `CLM-004`:</w:t>
      </w:r>
      <w:r>
        <w:rPr>
          <w:rFonts w:ascii="Calibri" w:hAnsi="Calibri"/>
          <w:sz w:val="22"/>
        </w:rPr>
        <w:t xml:space="preserve"> Invalid telecommands cannot interrupt command processing or bypass authorization logic.</w:t>
      </w:r>
    </w:p>
    <w:p>
      <w:pPr>
        <w:pStyle w:val="Heading2"/>
      </w:pPr>
      <w:r>
        <w:rPr>
          <w:rFonts w:ascii="Calibri" w:hAnsi="Calibri"/>
          <w:color w:val="2E74B5"/>
          <w:sz w:val="26"/>
        </w:rPr>
        <w:t>Acquire</w:t>
      </w:r>
    </w:p>
    <w:p>
      <w:r>
        <w:rPr>
          <w:rFonts w:ascii="Calibri" w:hAnsi="Calibri"/>
          <w:sz w:val="22"/>
        </w:rPr>
        <w:t>The auditor selects and documents three method runs: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Run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Auditor-selected method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RUN-BUILD-001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Reproducible build review</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Binary reproduced with documented deviations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RUN-QEMU-001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QEMU emulation and virtual peripheral bridging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Command path reached in emulator</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RUN-FUZZ-001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Coverage-guided parser fuzzing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Malformed frame reproducibly crashes command task</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r>
        <w:rPr>
          <w:rFonts w:ascii="Calibri" w:hAnsi="Calibri"/>
          <w:sz w:val="22"/>
        </w:rPr>
        <w:t>Evidence:</w:t>
      </w:r>
    </w:p>
    <w:p>
      <w:pPr>
        <w:pStyle w:val="ListBullet"/>
      </w:pPr>
      <w:r>
        <w:rPr>
          <w:rFonts w:ascii="Courier New" w:hAnsi="Courier New"/>
          <w:color w:val="1F4D78"/>
          <w:sz w:val="20"/>
        </w:rPr>
        <w:t>EVD-010</w:t>
      </w:r>
      <w:r>
        <w:rPr>
          <w:rFonts w:ascii="Calibri" w:hAnsi="Calibri"/>
          <w:sz w:val="22"/>
        </w:rPr>
        <w:t>: build manifest and hashes.</w:t>
      </w:r>
    </w:p>
    <w:p>
      <w:pPr>
        <w:pStyle w:val="ListBullet"/>
      </w:pPr>
      <w:r>
        <w:rPr>
          <w:rFonts w:ascii="Courier New" w:hAnsi="Courier New"/>
          <w:color w:val="1F4D78"/>
          <w:sz w:val="20"/>
        </w:rPr>
        <w:t>EVD-011</w:t>
      </w:r>
      <w:r>
        <w:rPr>
          <w:rFonts w:ascii="Calibri" w:hAnsi="Calibri"/>
          <w:sz w:val="22"/>
        </w:rPr>
        <w:t>: QEMU configuration and bridge scripts.</w:t>
      </w:r>
    </w:p>
    <w:p>
      <w:pPr>
        <w:pStyle w:val="ListBullet"/>
      </w:pPr>
      <w:r>
        <w:rPr>
          <w:rFonts w:ascii="Courier New" w:hAnsi="Courier New"/>
          <w:color w:val="1F4D78"/>
          <w:sz w:val="20"/>
        </w:rPr>
        <w:t>EVD-012</w:t>
      </w:r>
      <w:r>
        <w:rPr>
          <w:rFonts w:ascii="Calibri" w:hAnsi="Calibri"/>
          <w:sz w:val="22"/>
        </w:rPr>
        <w:t>: minimized crashing input.</w:t>
      </w:r>
    </w:p>
    <w:p>
      <w:pPr>
        <w:pStyle w:val="ListBullet"/>
      </w:pPr>
      <w:r>
        <w:rPr>
          <w:rFonts w:ascii="Courier New" w:hAnsi="Courier New"/>
          <w:color w:val="1F4D78"/>
          <w:sz w:val="20"/>
        </w:rPr>
        <w:t>EVD-013</w:t>
      </w:r>
      <w:r>
        <w:rPr>
          <w:rFonts w:ascii="Calibri" w:hAnsi="Calibri"/>
          <w:sz w:val="22"/>
        </w:rPr>
        <w:t>: debugger trace showing out-of-bounds write.</w:t>
      </w:r>
    </w:p>
    <w:p>
      <w:pPr>
        <w:pStyle w:val="ListBullet"/>
      </w:pPr>
      <w:r>
        <w:rPr>
          <w:rFonts w:ascii="Courier New" w:hAnsi="Courier New"/>
          <w:color w:val="1F4D78"/>
          <w:sz w:val="20"/>
        </w:rPr>
        <w:t>EVD-014</w:t>
      </w:r>
      <w:r>
        <w:rPr>
          <w:rFonts w:ascii="Calibri" w:hAnsi="Calibri"/>
          <w:sz w:val="22"/>
        </w:rPr>
        <w:t>: recovery behavior after task restart.</w:t>
      </w:r>
    </w:p>
    <w:p>
      <w:pPr>
        <w:pStyle w:val="Heading2"/>
      </w:pPr>
      <w:r>
        <w:rPr>
          <w:rFonts w:ascii="Calibri" w:hAnsi="Calibri"/>
          <w:color w:val="2E74B5"/>
          <w:sz w:val="26"/>
        </w:rPr>
        <w:t>Relate</w:t>
      </w:r>
    </w:p>
    <w:p>
      <w:pPr>
        <w:pStyle w:val="Heading3"/>
      </w:pPr>
      <w:r>
        <w:rPr>
          <w:rFonts w:ascii="Calibri" w:hAnsi="Calibri"/>
          <w:color w:val="1F4D78"/>
          <w:sz w:val="24"/>
        </w:rPr>
        <w:t>Finding FND-004</w:t>
      </w:r>
    </w:p>
    <w:p>
      <w:r>
        <w:rPr>
          <w:rFonts w:ascii="Calibri" w:hAnsi="Calibri"/>
          <w:sz w:val="22"/>
        </w:rPr>
        <w:t>Given an actor able to deliver an accepted telecommand frame, a malformed length can exploit an unchecked copy in the command parser, terminate the command task, and temporarily interrupt authorized command processing.</w:t>
      </w:r>
    </w:p>
    <w:p>
      <w:r>
        <w:rPr>
          <w:rFonts w:ascii="Calibri" w:hAnsi="Calibri"/>
          <w:sz w:val="22"/>
        </w:rPr>
        <w:t>Mappings: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Framework</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SPARTA</w:t>
            </w:r>
          </w:p>
        </w:tc>
        <w:tc>
          <w:tcPr>
            <w:tcW w:type="dxa" w:w="2340"/>
            <w:tcMar>
              <w:top w:w="80" w:type="dxa"/>
              <w:start w:w="120" w:type="dxa"/>
              <w:bottom w:w="80" w:type="dxa"/>
              <w:end w:w="120" w:type="dxa"/>
            </w:tcMar>
            <w:vAlign w:val="center"/>
          </w:tcPr>
          <w:p>
            <w:pPr>
              <w:spacing w:before="0" w:after="0"/>
            </w:pPr>
            <w:r>
              <w:rPr>
                <w:rFonts w:ascii="Courier New" w:hAnsi="Courier New"/>
                <w:color w:val="1F4D78"/>
                <w:sz w:val="18"/>
              </w:rPr>
              <w:t>EX-0009 Exploit Code Flaws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Confirmed</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Code flaw and execution effect reproduced in the emulated flight image</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SPARTA</w:t>
            </w:r>
          </w:p>
        </w:tc>
        <w:tc>
          <w:tcPr>
            <w:tcW w:type="dxa" w:w="2340"/>
            <w:tcMar>
              <w:top w:w="80" w:type="dxa"/>
              <w:start w:w="120" w:type="dxa"/>
              <w:bottom w:w="80" w:type="dxa"/>
              <w:end w:w="120" w:type="dxa"/>
            </w:tcMar>
            <w:vAlign w:val="center"/>
          </w:tcPr>
          <w:p>
            <w:pPr>
              <w:spacing w:before="0" w:after="0"/>
            </w:pPr>
            <w:r>
              <w:rPr>
                <w:rFonts w:ascii="Courier New" w:hAnsi="Courier New"/>
                <w:color w:val="1F4D78"/>
                <w:sz w:val="18"/>
              </w:rPr>
              <w:t>DE-0002 Disrupt or Deceive Downlink</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Not applicable</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The observed behavior affected command processing, not downlink visibility</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NIST / organization controls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Input validation and software verification requirements</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Deficiency</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Required negative-input behavior was absent</w:t>
            </w:r>
          </w:p>
        </w:tc>
      </w:tr>
    </w:tbl>
    <w:p>
      <w:pPr>
        <w:spacing w:after="20"/>
      </w:pPr>
    </w:p>
    <w:p>
      <w:r>
        <w:rPr>
          <w:rFonts w:ascii="Calibri" w:hAnsi="Calibri"/>
          <w:sz w:val="22"/>
        </w:rPr>
        <w:t>Conclusion reasoning:</w:t>
      </w:r>
    </w:p>
    <w:p>
      <w:pPr>
        <w:pStyle w:val="ListBullet"/>
      </w:pPr>
      <w:r>
        <w:rPr>
          <w:rFonts w:ascii="Calibri" w:hAnsi="Calibri"/>
          <w:sz w:val="22"/>
        </w:rPr>
        <w:t>The claim Does Not Meet its acceptance criteria in the QEMU environment because malformed input reproducibly interrupts command processing.</w:t>
      </w:r>
    </w:p>
    <w:p>
      <w:pPr>
        <w:pStyle w:val="ListBullet"/>
      </w:pPr>
      <w:r>
        <w:rPr>
          <w:rFonts w:ascii="Calibri" w:hAnsi="Calibri"/>
          <w:sz w:val="22"/>
        </w:rPr>
        <w:t>Confidence is Medium. The defect and QEMU effect are direct; RF reachability, physical timing, watchdog behavior, and on-orbit recovery were not validated.</w:t>
      </w:r>
    </w:p>
    <w:p>
      <w:pPr>
        <w:pStyle w:val="ListBullet"/>
      </w:pPr>
      <w:r>
        <w:rPr>
          <w:rFonts w:ascii="Calibri" w:hAnsi="Calibri"/>
          <w:sz w:val="22"/>
        </w:rPr>
        <w:t>Automatic task restart limits the observed effect but does not change the demonstrated claim failure.</w:t>
      </w:r>
    </w:p>
    <w:p>
      <w:pPr>
        <w:pStyle w:val="Heading2"/>
      </w:pPr>
      <w:r>
        <w:rPr>
          <w:rFonts w:ascii="Calibri" w:hAnsi="Calibri"/>
          <w:color w:val="2E74B5"/>
          <w:sz w:val="26"/>
        </w:rPr>
        <w:t>Inform</w:t>
      </w:r>
    </w:p>
    <w:p>
      <w:pPr>
        <w:pStyle w:val="Heading3"/>
      </w:pPr>
      <w:r>
        <w:rPr>
          <w:rFonts w:ascii="Calibri" w:hAnsi="Calibri"/>
          <w:color w:val="1F4D78"/>
          <w:sz w:val="24"/>
        </w:rPr>
        <w:t>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Conclusion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representative hardware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Integrated software image in the documented QEMU environment</w:t>
            </w:r>
          </w:p>
        </w:tc>
      </w:tr>
    </w:tbl>
    <w:p>
      <w:pPr>
        <w:spacing w:after="20"/>
      </w:pPr>
    </w:p>
    <w:p>
      <w:r>
        <w:rPr>
          <w:rFonts w:ascii="Calibri" w:hAnsi="Calibri"/>
          <w:sz w:val="22"/>
        </w:rPr>
        <w:t>Required actions:</w:t>
      </w:r>
    </w:p>
    <w:p>
      <w:pPr>
        <w:spacing w:after="80" w:line="300" w:lineRule="auto"/>
        <w:numPr>
          <w:ilvl w:val="0"/>
          <w:numId w:val="18"/>
        </w:numPr>
      </w:pPr>
      <w:r>
        <w:rPr>
          <w:rFonts w:ascii="Calibri" w:hAnsi="Calibri"/>
          <w:sz w:val="22"/>
        </w:rPr>
        <w:t>Enforce frame-length bounds before copy or allocation.</w:t>
      </w:r>
    </w:p>
    <w:p>
      <w:pPr>
        <w:spacing w:after="80" w:line="300" w:lineRule="auto"/>
        <w:numPr>
          <w:ilvl w:val="0"/>
          <w:numId w:val="18"/>
        </w:numPr>
      </w:pPr>
      <w:r>
        <w:rPr>
          <w:rFonts w:ascii="Calibri" w:hAnsi="Calibri"/>
          <w:sz w:val="22"/>
        </w:rPr>
        <w:t>Add malformed-frame regression tests and sanitizer-enabled host tests.</w:t>
      </w:r>
    </w:p>
    <w:p>
      <w:pPr>
        <w:spacing w:after="80" w:line="300" w:lineRule="auto"/>
        <w:numPr>
          <w:ilvl w:val="0"/>
          <w:numId w:val="18"/>
        </w:numPr>
      </w:pPr>
      <w:r>
        <w:rPr>
          <w:rFonts w:ascii="Calibri" w:hAnsi="Calibri"/>
          <w:sz w:val="22"/>
        </w:rPr>
        <w:t>Validate the patched image on a FlatSat or engineering model.</w:t>
      </w:r>
    </w:p>
    <w:p>
      <w:pPr>
        <w:spacing w:after="80" w:line="300" w:lineRule="auto"/>
        <w:numPr>
          <w:ilvl w:val="0"/>
          <w:numId w:val="18"/>
        </w:numPr>
      </w:pPr>
      <w:r>
        <w:rPr>
          <w:rFonts w:ascii="Calibri" w:hAnsi="Calibri"/>
          <w:sz w:val="22"/>
        </w:rPr>
        <w:t>Test whether link-layer authentication and filtering prevent delivery.</w:t>
      </w:r>
    </w:p>
    <w:p>
      <w:pPr>
        <w:spacing w:after="80" w:line="300" w:lineRule="auto"/>
        <w:numPr>
          <w:ilvl w:val="0"/>
          <w:numId w:val="18"/>
        </w:numPr>
      </w:pPr>
      <w:r>
        <w:rPr>
          <w:rFonts w:ascii="Calibri" w:hAnsi="Calibri"/>
          <w:sz w:val="22"/>
        </w:rPr>
        <w:t>Define an operational detection and recovery procedure.</w:t>
      </w: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Claim CLM-004 is not supported in the QEMU environment. The malformed-frame defect and command-task interruption are confirmed with medium confidence for the integrated software image. Physical-interface, RF-delivery, timing, and on-orbit conclusions remain unassessed.</w:t>
            </w:r>
          </w:p>
        </w:tc>
      </w:tr>
    </w:tbl>
    <w:p>
      <w:pPr>
        <w:spacing w:after="20"/>
      </w:pPr>
    </w:p>
    <w:p>
      <w:pPr>
        <w:pStyle w:val="Heading3"/>
      </w:pPr>
      <w:r>
        <w:rPr>
          <w:rFonts w:ascii="Calibri" w:hAnsi="Calibri"/>
          <w:color w:val="1F4D78"/>
          <w:sz w:val="24"/>
        </w:rPr>
        <w:t>FARI value</w:t>
      </w:r>
    </w:p>
    <w:p>
      <w:r>
        <w:rPr>
          <w:rFonts w:ascii="Calibri" w:hAnsi="Calibri"/>
          <w:sz w:val="22"/>
        </w:rPr>
        <w:t>The technical team remains free to choose QEMU, bridge design, fuzzing engine, and debugging approach. FARI converts the work into a bounded conclusion, SPARTA relationship, remediation plan, and honest assurance claim.</w:t>
      </w:r>
    </w:p>
    <w:p>
      <w:r>
        <w:br w:type="page"/>
      </w:r>
    </w:p>
    <w:p>
      <w:pPr>
        <w:pStyle w:val="Heading1"/>
      </w:pPr>
      <w:r>
        <w:rPr>
          <w:rFonts w:ascii="Calibri" w:hAnsi="Calibri"/>
          <w:color w:val="2E74B5"/>
          <w:sz w:val="32"/>
        </w:rPr>
        <w:t>Example 3: Mission-Wide Multi-Team Assessment</w:t>
      </w:r>
    </w:p>
    <w:p>
      <w:pPr>
        <w:pStyle w:val="Heading2"/>
      </w:pPr>
      <w:r>
        <w:rPr>
          <w:rFonts w:ascii="Calibri" w:hAnsi="Calibri"/>
          <w:color w:val="2E74B5"/>
          <w:sz w:val="26"/>
        </w:rPr>
        <w:t>Scenario</w:t>
      </w:r>
    </w:p>
    <w:p>
      <w:r>
        <w:rPr>
          <w:rFonts w:ascii="Calibri" w:hAnsi="Calibri"/>
          <w:sz w:val="22"/>
        </w:rPr>
        <w:t>A commercial Earth-observation mission commissions a grey-box assessment before launch. Different teams assess flight software, a FlatSat, GSaaS integration, mission-control cloud services, and a user data terminal.</w:t>
      </w:r>
    </w:p>
    <w:p>
      <w:pPr>
        <w:pStyle w:val="Heading2"/>
      </w:pPr>
      <w:r>
        <w:rPr>
          <w:rFonts w:ascii="Calibri" w:hAnsi="Calibri"/>
          <w:color w:val="2E74B5"/>
          <w:sz w:val="26"/>
        </w:rPr>
        <w:t>Frame</w:t>
      </w:r>
    </w:p>
    <w:p>
      <w:r>
        <w:rPr>
          <w:rFonts w:ascii="Calibri" w:hAnsi="Calibri"/>
          <w:sz w:val="22"/>
        </w:rPr>
        <w:t>Mission objectives:</w:t>
      </w:r>
    </w:p>
    <w:p>
      <w:pPr>
        <w:pStyle w:val="ListBullet"/>
      </w:pPr>
      <w:r>
        <w:rPr>
          <w:rFonts w:ascii="Courier New" w:hAnsi="Courier New"/>
          <w:color w:val="1F4D78"/>
          <w:sz w:val="20"/>
        </w:rPr>
        <w:t>OBJ-001</w:t>
      </w:r>
      <w:r>
        <w:rPr>
          <w:rFonts w:ascii="Calibri" w:hAnsi="Calibri"/>
          <w:sz w:val="22"/>
        </w:rPr>
        <w:t>: Maintain authorized spacecraft commandability.</w:t>
      </w:r>
    </w:p>
    <w:p>
      <w:pPr>
        <w:pStyle w:val="ListBullet"/>
      </w:pPr>
      <w:r>
        <w:rPr>
          <w:rFonts w:ascii="Courier New" w:hAnsi="Courier New"/>
          <w:color w:val="1F4D78"/>
          <w:sz w:val="20"/>
        </w:rPr>
        <w:t>OBJ-002</w:t>
      </w:r>
      <w:r>
        <w:rPr>
          <w:rFonts w:ascii="Calibri" w:hAnsi="Calibri"/>
          <w:sz w:val="22"/>
        </w:rPr>
        <w:t>: Preserve payload-data integrity.</w:t>
      </w:r>
    </w:p>
    <w:p>
      <w:pPr>
        <w:pStyle w:val="ListBullet"/>
      </w:pPr>
      <w:r>
        <w:rPr>
          <w:rFonts w:ascii="Courier New" w:hAnsi="Courier New"/>
          <w:color w:val="1F4D78"/>
          <w:sz w:val="20"/>
        </w:rPr>
        <w:t>OBJ-003</w:t>
      </w:r>
      <w:r>
        <w:rPr>
          <w:rFonts w:ascii="Calibri" w:hAnsi="Calibri"/>
          <w:sz w:val="22"/>
        </w:rPr>
        <w:t>: Recover safely from faults and malicious inputs.</w:t>
      </w:r>
    </w:p>
    <w:p>
      <w:pPr>
        <w:pStyle w:val="ListBullet"/>
      </w:pPr>
      <w:r>
        <w:rPr>
          <w:rFonts w:ascii="Courier New" w:hAnsi="Courier New"/>
          <w:color w:val="1F4D78"/>
          <w:sz w:val="20"/>
        </w:rPr>
        <w:t>OBJ-004</w:t>
      </w:r>
      <w:r>
        <w:rPr>
          <w:rFonts w:ascii="Calibri" w:hAnsi="Calibri"/>
          <w:sz w:val="22"/>
        </w:rPr>
        <w:t>: Prevent unauthorized disclosure of customer imagery.</w:t>
      </w:r>
    </w:p>
    <w:p>
      <w:r>
        <w:rPr>
          <w:rFonts w:ascii="Calibri" w:hAnsi="Calibri"/>
          <w:sz w:val="22"/>
        </w:rPr>
        <w:t>Scoped architecture: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r>
        <w:rPr>
          <w:rFonts w:ascii="Calibri" w:hAnsi="Calibri"/>
          <w:sz w:val="22"/>
        </w:rPr>
        <w:t>The FARI assessment owner defines common asset IDs, gating claims, evidence handling, SPARTA access date, conclusion rules, and consolidated-report requirements. Each technical team retains its own test procedure and does not need to use FARI.</w:t>
      </w:r>
    </w:p>
    <w:p>
      <w:pPr>
        <w:pStyle w:val="Heading2"/>
      </w:pPr>
      <w:r>
        <w:rPr>
          <w:rFonts w:ascii="Calibri" w:hAnsi="Calibri"/>
          <w:color w:val="2E74B5"/>
          <w:sz w:val="26"/>
        </w:rPr>
        <w:t>Acquire</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Team</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Method Run</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Scope</w:t>
            </w:r>
          </w:p>
        </w:tc>
        <w:tc>
          <w:tcPr>
            <w:tcW w:type="dxa" w:w="2340"/>
            <w:tcMar>
              <w:top w:w="80" w:type="dxa"/>
              <w:start w:w="120" w:type="dxa"/>
              <w:bottom w:w="80" w:type="dxa"/>
              <w:end w:w="120" w:type="dxa"/>
            </w:tcMar>
            <w:vAlign w:val="center"/>
            <w:shd w:fill="E8EEF5"/>
          </w:tcPr>
          <w:p>
            <w:pPr>
              <w:spacing w:before="0" w:after="0"/>
            </w:pPr>
            <w:r>
              <w:rPr>
                <w:rFonts w:ascii="Calibri" w:hAnsi="Calibri"/>
                <w:b/>
                <w:color w:val="0B2545"/>
                <w:sz w:val="18"/>
              </w:rPr>
              <w:t>Example Output</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Firmware</w:t>
            </w:r>
          </w:p>
        </w:tc>
        <w:tc>
          <w:tcPr>
            <w:tcW w:type="dxa" w:w="2340"/>
            <w:tcMar>
              <w:top w:w="80" w:type="dxa"/>
              <w:start w:w="120" w:type="dxa"/>
              <w:bottom w:w="80" w:type="dxa"/>
              <w:end w:w="120" w:type="dxa"/>
            </w:tcMar>
            <w:vAlign w:val="center"/>
          </w:tcPr>
          <w:p>
            <w:pPr>
              <w:spacing w:before="0" w:after="0"/>
            </w:pPr>
            <w:r>
              <w:rPr>
                <w:rFonts w:ascii="Courier New" w:hAnsi="Courier New"/>
                <w:color w:val="1F4D78"/>
                <w:sz w:val="18"/>
              </w:rPr>
              <w:t>RUN-FW-001</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Source and binary review</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Unsigned optional plugin accepted by build</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FlatSat</w:t>
            </w:r>
          </w:p>
        </w:tc>
        <w:tc>
          <w:tcPr>
            <w:tcW w:type="dxa" w:w="2340"/>
            <w:tcMar>
              <w:top w:w="80" w:type="dxa"/>
              <w:start w:w="120" w:type="dxa"/>
              <w:bottom w:w="80" w:type="dxa"/>
              <w:end w:w="120" w:type="dxa"/>
            </w:tcMar>
            <w:vAlign w:val="center"/>
          </w:tcPr>
          <w:p>
            <w:pPr>
              <w:spacing w:before="0" w:after="0"/>
            </w:pPr>
            <w:r>
              <w:rPr>
                <w:rFonts w:ascii="Courier New" w:hAnsi="Courier New"/>
                <w:color w:val="1F4D78"/>
                <w:sz w:val="18"/>
              </w:rPr>
              <w:t>RUN-HIL-001</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Hardware-in-the-loop command testing</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Replayed maintenance command accepted in a specific mode</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Ground</w:t>
            </w:r>
          </w:p>
        </w:tc>
        <w:tc>
          <w:tcPr>
            <w:tcW w:type="dxa" w:w="2340"/>
            <w:tcMar>
              <w:top w:w="80" w:type="dxa"/>
              <w:start w:w="120" w:type="dxa"/>
              <w:bottom w:w="80" w:type="dxa"/>
              <w:end w:w="120" w:type="dxa"/>
            </w:tcMar>
            <w:vAlign w:val="center"/>
          </w:tcPr>
          <w:p>
            <w:pPr>
              <w:spacing w:before="0" w:after="0"/>
            </w:pPr>
            <w:r>
              <w:rPr>
                <w:rFonts w:ascii="Courier New" w:hAnsi="Courier New"/>
                <w:color w:val="1F4D78"/>
                <w:sz w:val="18"/>
              </w:rPr>
              <w:t>RUN-GND-001</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Cloud/API/identity assessment</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Excessive privilege permits command-queue modification</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GSaaS</w:t>
            </w:r>
          </w:p>
        </w:tc>
        <w:tc>
          <w:tcPr>
            <w:tcW w:type="dxa" w:w="2340"/>
            <w:tcMar>
              <w:top w:w="80" w:type="dxa"/>
              <w:start w:w="120" w:type="dxa"/>
              <w:bottom w:w="80" w:type="dxa"/>
              <w:end w:w="120" w:type="dxa"/>
            </w:tcMar>
            <w:vAlign w:val="center"/>
          </w:tcPr>
          <w:p>
            <w:pPr>
              <w:spacing w:before="0" w:after="0"/>
            </w:pPr>
            <w:r>
              <w:rPr>
                <w:rFonts w:ascii="Courier New" w:hAnsi="Courier New"/>
                <w:color w:val="1F4D78"/>
                <w:sz w:val="18"/>
              </w:rPr>
              <w:t>RUN-GSAAS-001</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Configuration and tenant-boundary review</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No critical finding; partial evidence only</w:t>
            </w:r>
          </w:p>
        </w:tc>
      </w:tr>
      <w:tr>
        <w:tc>
          <w:tcPr>
            <w:tcW w:type="dxa" w:w="2340"/>
            <w:tcMar>
              <w:top w:w="80" w:type="dxa"/>
              <w:start w:w="120" w:type="dxa"/>
              <w:bottom w:w="80" w:type="dxa"/>
              <w:end w:w="120" w:type="dxa"/>
            </w:tcMar>
            <w:vAlign w:val="center"/>
          </w:tcPr>
          <w:p>
            <w:pPr>
              <w:spacing w:before="0" w:after="0"/>
            </w:pPr>
            <w:r>
              <w:rPr>
                <w:rFonts w:ascii="Calibri" w:hAnsi="Calibri"/>
                <w:color w:val="0B2545"/>
                <w:sz w:val="18"/>
              </w:rPr>
              <w:t>User</w:t>
            </w:r>
          </w:p>
        </w:tc>
        <w:tc>
          <w:tcPr>
            <w:tcW w:type="dxa" w:w="2340"/>
            <w:tcMar>
              <w:top w:w="80" w:type="dxa"/>
              <w:start w:w="120" w:type="dxa"/>
              <w:bottom w:w="80" w:type="dxa"/>
              <w:end w:w="120" w:type="dxa"/>
            </w:tcMar>
            <w:vAlign w:val="center"/>
          </w:tcPr>
          <w:p>
            <w:pPr>
              <w:spacing w:before="0" w:after="0"/>
            </w:pPr>
            <w:r>
              <w:rPr>
                <w:rFonts w:ascii="Courier New" w:hAnsi="Courier New"/>
                <w:color w:val="1F4D78"/>
                <w:sz w:val="18"/>
              </w:rPr>
              <w:t>RUN-USER-001</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Terminal firmware and API assessment</w:t>
            </w:r>
          </w:p>
        </w:tc>
        <w:tc>
          <w:tcPr>
            <w:tcW w:type="dxa" w:w="2340"/>
            <w:tcMar>
              <w:top w:w="80" w:type="dxa"/>
              <w:start w:w="120" w:type="dxa"/>
              <w:bottom w:w="80" w:type="dxa"/>
              <w:end w:w="120" w:type="dxa"/>
            </w:tcMar>
            <w:vAlign w:val="center"/>
          </w:tcPr>
          <w:p>
            <w:pPr>
              <w:spacing w:before="0" w:after="0"/>
            </w:pPr>
            <w:r>
              <w:rPr>
                <w:rFonts w:ascii="Calibri" w:hAnsi="Calibri"/>
                <w:color w:val="0B2545"/>
                <w:sz w:val="18"/>
              </w:rPr>
              <w:t>Cached payload data stored unencrypted</w:t>
            </w:r>
          </w:p>
        </w:tc>
      </w:tr>
    </w:tbl>
    <w:p>
      <w:pPr>
        <w:spacing w:after="20"/>
      </w:pPr>
    </w:p>
    <w:p>
      <w:pPr>
        <w:pStyle w:val="Heading2"/>
      </w:pPr>
      <w:r>
        <w:rPr>
          <w:rFonts w:ascii="Calibri" w:hAnsi="Calibri"/>
          <w:color w:val="2E74B5"/>
          <w:sz w:val="26"/>
        </w:rPr>
        <w:t>Relate</w:t>
      </w:r>
    </w:p>
    <w:p>
      <w:r>
        <w:rPr>
          <w:rFonts w:ascii="Calibri" w:hAnsi="Calibri"/>
          <w:sz w:val="22"/>
        </w:rPr>
        <w:t>FARI connects the separate findings into an attack path: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r>
        <w:rPr>
          <w:rFonts w:ascii="Calibri" w:hAnsi="Calibri"/>
          <w:sz w:val="22"/>
        </w:rPr>
        <w:t>Example cross-framework relationships:</w:t>
      </w:r>
    </w:p>
    <w:p>
      <w:pPr>
        <w:pStyle w:val="ListBullet"/>
      </w:pPr>
      <w:r>
        <w:rPr>
          <w:rFonts w:ascii="Calibri" w:hAnsi="Calibri"/>
          <w:sz w:val="22"/>
        </w:rPr>
        <w:t>Ground identity and cloud behavior: MITRE ATT&amp;CK mappings selected by the ground team.</w:t>
      </w:r>
    </w:p>
    <w:p>
      <w:pPr>
        <w:pStyle w:val="ListBullet"/>
      </w:pPr>
      <w:r>
        <w:rPr>
          <w:rFonts w:ascii="Calibri" w:hAnsi="Calibri"/>
          <w:sz w:val="22"/>
        </w:rPr>
        <w:t xml:space="preserve">Spacecraft-facing path: SPARTA </w:t>
      </w:r>
      <w:r>
        <w:rPr>
          <w:rFonts w:ascii="Courier New" w:hAnsi="Courier New"/>
          <w:color w:val="1F4D78"/>
          <w:sz w:val="20"/>
        </w:rPr>
        <w:t>IA-0007 Compromise Ground System</w:t>
      </w:r>
      <w:r>
        <w:rPr>
          <w:rFonts w:ascii="Calibri" w:hAnsi="Calibri"/>
          <w:sz w:val="22"/>
        </w:rPr>
        <w:t xml:space="preserve"> as a candidate relationship until end-to-end execution is demonstrated.</w:t>
      </w:r>
    </w:p>
    <w:p>
      <w:pPr>
        <w:pStyle w:val="ListBullet"/>
      </w:pPr>
      <w:r>
        <w:rPr>
          <w:rFonts w:ascii="Calibri" w:hAnsi="Calibri"/>
          <w:sz w:val="22"/>
        </w:rPr>
        <w:t xml:space="preserve">Flight-build dependency risk: SPARTA </w:t>
      </w:r>
      <w:r>
        <w:rPr>
          <w:rFonts w:ascii="Courier New" w:hAnsi="Courier New"/>
          <w:color w:val="1F4D78"/>
          <w:sz w:val="20"/>
        </w:rPr>
        <w:t>IA-0001.01 Software Dependencies &amp; Development Tools</w:t>
      </w:r>
      <w:r>
        <w:rPr>
          <w:rFonts w:ascii="Calibri" w:hAnsi="Calibri"/>
          <w:sz w:val="22"/>
        </w:rPr>
        <w:t>.</w:t>
      </w:r>
    </w:p>
    <w:p>
      <w:pPr>
        <w:pStyle w:val="ListBullet"/>
      </w:pPr>
      <w:r>
        <w:rPr>
          <w:rFonts w:ascii="Calibri" w:hAnsi="Calibri"/>
          <w:sz w:val="22"/>
        </w:rPr>
        <w:t xml:space="preserve">Mission risk: Unauthorized command execution could violate </w:t>
      </w:r>
      <w:r>
        <w:rPr>
          <w:rFonts w:ascii="Courier New" w:hAnsi="Courier New"/>
          <w:color w:val="1F4D78"/>
          <w:sz w:val="20"/>
        </w:rPr>
        <w:t>OBJ-001</w:t>
      </w:r>
      <w:r>
        <w:rPr>
          <w:rFonts w:ascii="Calibri" w:hAnsi="Calibri"/>
          <w:sz w:val="22"/>
        </w:rPr>
        <w:t xml:space="preserve"> and </w:t>
      </w:r>
      <w:r>
        <w:rPr>
          <w:rFonts w:ascii="Courier New" w:hAnsi="Courier New"/>
          <w:color w:val="1F4D78"/>
          <w:sz w:val="20"/>
        </w:rPr>
        <w:t>OBJ-003</w:t>
      </w:r>
      <w:r>
        <w:rPr>
          <w:rFonts w:ascii="Calibri" w:hAnsi="Calibri"/>
          <w:sz w:val="22"/>
        </w:rPr>
        <w:t>.</w:t>
      </w:r>
    </w:p>
    <w:p>
      <w:r>
        <w:rPr>
          <w:rFonts w:ascii="Calibri" w:hAnsi="Calibri"/>
          <w:sz w:val="22"/>
        </w:rPr>
        <w:t>The connected mission scenario causes the command-path gating claim to Does Not Meet because a trusted path and a spacecraft-mode weakness combine to reduce barriers.</w:t>
      </w:r>
    </w:p>
    <w:p>
      <w:pPr>
        <w:pStyle w:val="Heading2"/>
      </w:pPr>
      <w:r>
        <w:rPr>
          <w:rFonts w:ascii="Calibri" w:hAnsi="Calibri"/>
          <w:color w:val="2E74B5"/>
          <w:sz w:val="26"/>
        </w:rPr>
        <w:t>Inform</w:t>
      </w:r>
    </w:p>
    <w:p>
      <w:pPr>
        <w:pStyle w:val="Heading3"/>
      </w:pPr>
      <w:r>
        <w:rPr>
          <w:rFonts w:ascii="Calibri" w:hAnsi="Calibri"/>
          <w:color w:val="1F4D78"/>
          <w:sz w:val="24"/>
        </w:rPr>
        <w:t>Consolidated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Overall Conclusion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and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launch</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Declared pre-launch grey-box scope; on-orbit RF resistance excluded</w:t>
            </w:r>
          </w:p>
        </w:tc>
      </w:tr>
    </w:tbl>
    <w:p>
      <w:pPr>
        <w:spacing w:after="20"/>
      </w:pPr>
    </w:p>
    <w:p>
      <w:pPr>
        <w:pStyle w:val="Heading3"/>
      </w:pPr>
      <w:r>
        <w:rPr>
          <w:rFonts w:ascii="Calibri" w:hAnsi="Calibri"/>
          <w:color w:val="1F4D78"/>
          <w:sz w:val="24"/>
        </w:rPr>
        <w:t>Executive Decisions</w:t>
      </w:r>
    </w:p>
    <w:p>
      <w:pPr>
        <w:spacing w:after="80" w:line="300" w:lineRule="auto"/>
        <w:numPr>
          <w:ilvl w:val="0"/>
          <w:numId w:val="19"/>
        </w:numPr>
      </w:pPr>
      <w:r>
        <w:rPr>
          <w:rFonts w:ascii="Calibri" w:hAnsi="Calibri"/>
          <w:sz w:val="22"/>
        </w:rPr>
        <w:t>Remove excessive command-queue privileges before launch.</w:t>
      </w:r>
    </w:p>
    <w:p>
      <w:pPr>
        <w:spacing w:after="80" w:line="300" w:lineRule="auto"/>
        <w:numPr>
          <w:ilvl w:val="0"/>
          <w:numId w:val="19"/>
        </w:numPr>
      </w:pPr>
      <w:r>
        <w:rPr>
          <w:rFonts w:ascii="Calibri" w:hAnsi="Calibri"/>
          <w:sz w:val="22"/>
        </w:rPr>
        <w:t>Enforce command freshness and anti-replay checks in all spacecraft modes.</w:t>
      </w:r>
    </w:p>
    <w:p>
      <w:pPr>
        <w:spacing w:after="80" w:line="300" w:lineRule="auto"/>
        <w:numPr>
          <w:ilvl w:val="0"/>
          <w:numId w:val="19"/>
        </w:numPr>
      </w:pPr>
      <w:r>
        <w:rPr>
          <w:rFonts w:ascii="Calibri" w:hAnsi="Calibri"/>
          <w:sz w:val="22"/>
        </w:rPr>
        <w:t>Require signed build plugins and record provenance in the flight build.</w:t>
      </w:r>
    </w:p>
    <w:p>
      <w:pPr>
        <w:spacing w:after="80" w:line="300" w:lineRule="auto"/>
        <w:numPr>
          <w:ilvl w:val="0"/>
          <w:numId w:val="19"/>
        </w:numPr>
      </w:pPr>
      <w:r>
        <w:rPr>
          <w:rFonts w:ascii="Calibri" w:hAnsi="Calibri"/>
          <w:sz w:val="22"/>
        </w:rPr>
        <w:t>Complete the GSaaS evidence gap before declaring the command path assessed.</w:t>
      </w:r>
    </w:p>
    <w:p>
      <w:pPr>
        <w:spacing w:after="80" w:line="300" w:lineRule="auto"/>
        <w:numPr>
          <w:ilvl w:val="0"/>
          <w:numId w:val="19"/>
        </w:numPr>
      </w:pPr>
      <w:r>
        <w:rPr>
          <w:rFonts w:ascii="Calibri" w:hAnsi="Calibri"/>
          <w:sz w:val="22"/>
        </w:rPr>
        <w:t>Encrypt user-terminal payload cache and verify key handling.</w:t>
      </w:r>
    </w:p>
    <w:p>
      <w:pPr>
        <w:pStyle w:val="Heading3"/>
      </w:pPr>
      <w:r>
        <w:rPr>
          <w:rFonts w:ascii="Calibri" w:hAnsi="Calibri"/>
          <w:color w:val="1F4D78"/>
          <w:sz w:val="24"/>
        </w:rPr>
        <w:t>Coverage Statement</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Status</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Important limitation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Flight software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Reviewed and partially 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on-orbit environment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FlatSat command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RF front-end not representative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Mission-control cloud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Supplier-managed identity logs were sampled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GSaaS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Reviewed / inferred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Tenant-isolation test evidence incomplete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User terminal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One hardware revision only</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pre-launch assessment provides medium-confidence evidence that the defined command path contains a credible cross-segment attack scenario. Launch readiness for OBJ-001 and OBJ-003 is not supported until the replay and privilege findings are remediated and verified. No conclusion is made about on-orbit RF resistance.</w:t>
            </w:r>
          </w:p>
        </w:tc>
      </w:tr>
    </w:tbl>
    <w:p>
      <w:pPr>
        <w:spacing w:after="20"/>
      </w:pPr>
    </w:p>
    <w:p>
      <w:pPr>
        <w:pStyle w:val="Heading3"/>
      </w:pPr>
      <w:r>
        <w:rPr>
          <w:rFonts w:ascii="Calibri" w:hAnsi="Calibri"/>
          <w:color w:val="1F4D78"/>
          <w:sz w:val="24"/>
        </w:rPr>
        <w:t>FARI value</w:t>
      </w:r>
    </w:p>
    <w:p>
      <w:r>
        <w:rPr>
          <w:rFonts w:ascii="Calibri" w:hAnsi="Calibri"/>
          <w:sz w:val="22"/>
        </w:rPr>
        <w:t>FARI reveals the mission-level path that no single team owns, preserves each team's method and evidence, and prevents incomplete GSaaS evidence from being reported as a clean result.</w:t>
      </w:r>
    </w:p>
    <w:p>
      <w:r>
        <w:br w:type="page"/>
      </w:r>
    </w:p>
    <w:p>
      <w:pPr>
        <w:pStyle w:val="Heading1"/>
      </w:pPr>
      <w:r>
        <w:rPr>
          <w:rFonts w:ascii="Calibri" w:hAnsi="Calibri"/>
          <w:color w:val="2E74B5"/>
          <w:sz w:val="32"/>
        </w:rPr>
        <w:t>Appendix D: Process Validation</w:t>
      </w:r>
    </w:p>
    <w:p>
      <w:pPr>
        <w:pStyle w:val="Heading2"/>
      </w:pPr>
      <w:r>
        <w:rPr>
          <w:rFonts w:ascii="Calibri" w:hAnsi="Calibri"/>
          <w:color w:val="2E74B5"/>
          <w:sz w:val="26"/>
        </w:rPr>
        <w:t>Purpose</w:t>
      </w:r>
    </w:p>
    <w:p>
      <w:r>
        <w:rPr>
          <w:rFonts w:ascii="Calibri" w:hAnsi="Calibri"/>
          <w:sz w:val="22"/>
        </w:rPr>
        <w:t>This document records what the first four case reports revealed about the FARI process and which changes were made before treating the framework as stable.</w:t>
      </w:r>
    </w:p>
    <w:p>
      <w:pPr>
        <w:pStyle w:val="Heading2"/>
      </w:pPr>
      <w:r>
        <w:rPr>
          <w:rFonts w:ascii="Calibri" w:hAnsi="Calibri"/>
          <w:color w:val="2E74B5"/>
          <w:sz w:val="26"/>
        </w:rPr>
        <w:t>Cases Used</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Case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Evidence Type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 Outcome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01_Lib.md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Raw fuzzing and AddressSanitizer logs with short analyst conclusion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Does Not Meet; confirmed technical claim failure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02_USB.md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 concept, script, reproduction plan, expected observations, analyst conclusion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Inconclusive; extended investigation required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03_USB.md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excerpt, malformed USB telecommand screenshot, and impact assertions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Inconclusive; delivery demonstrated but effect unresolved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04_Spacecanbus.md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Bus injection/replay commands and monitor screenshots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Does Not Meet in lab monitoring scope; broader effects unresolved</w:t>
            </w:r>
          </w:p>
        </w:tc>
      </w:tr>
    </w:tbl>
    <w:p>
      <w:pPr>
        <w:spacing w:after="20"/>
      </w:pPr>
    </w:p>
    <w:p>
      <w:pPr>
        <w:pStyle w:val="Heading2"/>
      </w:pPr>
      <w:r>
        <w:rPr>
          <w:rFonts w:ascii="Calibri" w:hAnsi="Calibri"/>
          <w:color w:val="2E74B5"/>
          <w:sz w:val="26"/>
        </w:rPr>
        <w:t>What Worked</w:t>
      </w:r>
    </w:p>
    <w:p>
      <w:pPr>
        <w:spacing w:after="80" w:line="300" w:lineRule="auto"/>
        <w:numPr>
          <w:ilvl w:val="0"/>
          <w:numId w:val="20"/>
        </w:numPr>
      </w:pPr>
      <w:r>
        <w:rPr>
          <w:rFonts w:ascii="Calibri" w:hAnsi="Calibri"/>
          <w:b/>
          <w:sz w:val="22"/>
        </w:rPr>
        <w:t>Method agnosticism worked.</w:t>
      </w:r>
      <w:r>
        <w:rPr>
          <w:rFonts w:ascii="Calibri" w:hAnsi="Calibri"/>
          <w:sz w:val="22"/>
        </w:rPr>
        <w:t xml:space="preserve"> FARI accepted raw fuzzing logs and a hardware-interface test concept without prescribing either technical method.</w:t>
      </w:r>
    </w:p>
    <w:p>
      <w:pPr>
        <w:spacing w:after="80" w:line="300" w:lineRule="auto"/>
        <w:numPr>
          <w:ilvl w:val="0"/>
          <w:numId w:val="20"/>
        </w:numPr>
      </w:pPr>
      <w:r>
        <w:rPr>
          <w:rFonts w:ascii="Calibri" w:hAnsi="Calibri"/>
          <w:b/>
          <w:sz w:val="22"/>
        </w:rPr>
        <w:t>SPARTA added useful context.</w:t>
      </w:r>
      <w:r>
        <w:rPr>
          <w:rFonts w:ascii="Calibri" w:hAnsi="Calibri"/>
          <w:sz w:val="22"/>
        </w:rPr>
        <w:t xml:space="preserve"> The reports corrected or refined mappings without changing the supplied technical evidence.</w:t>
      </w:r>
    </w:p>
    <w:p>
      <w:pPr>
        <w:spacing w:after="80" w:line="300" w:lineRule="auto"/>
        <w:numPr>
          <w:ilvl w:val="0"/>
          <w:numId w:val="20"/>
        </w:numPr>
      </w:pPr>
      <w:r>
        <w:rPr>
          <w:rFonts w:ascii="Calibri" w:hAnsi="Calibri"/>
          <w:b/>
          <w:sz w:val="22"/>
        </w:rPr>
        <w:t>Risk, confidence, and coverage remained separate.</w:t>
      </w:r>
      <w:r>
        <w:rPr>
          <w:rFonts w:ascii="Calibri" w:hAnsi="Calibri"/>
          <w:sz w:val="22"/>
        </w:rPr>
        <w:t xml:space="preserve"> Confirmed technical defects did not automatically become confirmed mission-level denial of service.</w:t>
      </w:r>
    </w:p>
    <w:p>
      <w:pPr>
        <w:spacing w:after="80" w:line="300" w:lineRule="auto"/>
        <w:numPr>
          <w:ilvl w:val="0"/>
          <w:numId w:val="20"/>
        </w:numPr>
      </w:pPr>
      <w:r>
        <w:rPr>
          <w:rFonts w:ascii="Calibri" w:hAnsi="Calibri"/>
          <w:b/>
          <w:sz w:val="22"/>
        </w:rPr>
        <w:t>Executive decisions were possible with incomplete evidence.</w:t>
      </w:r>
      <w:r>
        <w:rPr>
          <w:rFonts w:ascii="Calibri" w:hAnsi="Calibri"/>
          <w:sz w:val="22"/>
        </w:rPr>
        <w:t xml:space="preserve"> Both reports identify safe next actions while remaining provisional.</w:t>
      </w:r>
    </w:p>
    <w:p>
      <w:pPr>
        <w:spacing w:after="80" w:line="300" w:lineRule="auto"/>
        <w:numPr>
          <w:ilvl w:val="0"/>
          <w:numId w:val="20"/>
        </w:numPr>
      </w:pPr>
      <w:r>
        <w:rPr>
          <w:rFonts w:ascii="Calibri" w:hAnsi="Calibri"/>
          <w:b/>
          <w:sz w:val="22"/>
        </w:rPr>
        <w:t>A portfolio conclusion remained simple as cases increased.</w:t>
      </w:r>
      <w:r>
        <w:rPr>
          <w:rFonts w:ascii="Calibri" w:hAnsi="Calibri"/>
          <w:sz w:val="22"/>
        </w:rPr>
        <w:t xml:space="preserve"> Four investigation reports totalize into one result without averaging technical findings or inventing a numeric score.</w:t>
      </w:r>
    </w:p>
    <w:p>
      <w:pPr>
        <w:pStyle w:val="Heading2"/>
      </w:pPr>
      <w:r>
        <w:rPr>
          <w:rFonts w:ascii="Calibri" w:hAnsi="Calibri"/>
          <w:color w:val="2E74B5"/>
          <w:sz w:val="26"/>
        </w:rPr>
        <w:t>Problems Revealed</w:t>
      </w:r>
    </w:p>
    <w:p>
      <w:pPr>
        <w:pStyle w:val="Heading3"/>
      </w:pPr>
      <w:r>
        <w:rPr>
          <w:rFonts w:ascii="Calibri" w:hAnsi="Calibri"/>
          <w:color w:val="1F4D78"/>
          <w:sz w:val="24"/>
        </w:rPr>
        <w:t>PV-001: Evidence Producer and Report Author Were Not Explicitly Separate</w:t>
      </w:r>
    </w:p>
    <w:p>
      <w:r>
        <w:rPr>
          <w:rFonts w:ascii="Calibri" w:hAnsi="Calibri"/>
          <w:sz w:val="22"/>
        </w:rPr>
        <w:t>The original process assumed the assessment team would both execute testing and write the final report. The intended operating model requires the auditor to produce evidence and another role to create the FARI report.</w:t>
      </w:r>
    </w:p>
    <w:p>
      <w:r>
        <w:rPr>
          <w:rFonts w:ascii="Calibri" w:hAnsi="Calibri"/>
          <w:b/>
          <w:sz w:val="22"/>
        </w:rPr>
        <w:t>Change made:</w:t>
      </w:r>
      <w:r>
        <w:rPr>
          <w:rFonts w:ascii="Calibri" w:hAnsi="Calibri"/>
          <w:sz w:val="22"/>
        </w:rPr>
        <w:t xml:space="preserve"> Added explicit Evidence Producer, Report Author, Mission Owner, and Risk Authority roles.</w:t>
      </w:r>
    </w:p>
    <w:p>
      <w:pPr>
        <w:pStyle w:val="Heading3"/>
      </w:pPr>
      <w:r>
        <w:rPr>
          <w:rFonts w:ascii="Calibri" w:hAnsi="Calibri"/>
          <w:color w:val="1F4D78"/>
          <w:sz w:val="24"/>
        </w:rPr>
        <w:t>PV-002: Raw Source Material Can Support Different Strengths of Conclusion</w:t>
      </w:r>
    </w:p>
    <w:p>
      <w:r>
        <w:rPr>
          <w:rFonts w:ascii="Calibri" w:hAnsi="Calibri"/>
          <w:sz w:val="22"/>
        </w:rPr>
        <w:t>The library case supports a confirmed memory-safety defect, but does not support confirmed external reachability or mission-level denial of service.</w:t>
      </w:r>
    </w:p>
    <w:p>
      <w:r>
        <w:rPr>
          <w:rFonts w:ascii="Calibri" w:hAnsi="Calibri"/>
          <w:b/>
          <w:sz w:val="22"/>
        </w:rPr>
        <w:t>Change made:</w:t>
      </w:r>
      <w:r>
        <w:rPr>
          <w:rFonts w:ascii="Calibri" w:hAnsi="Calibri"/>
          <w:sz w:val="22"/>
        </w:rPr>
        <w:t xml:space="preserve"> Added separate evidence-sufficiency decisions for technical condition, reachability, and mission consequence.</w:t>
      </w:r>
    </w:p>
    <w:p>
      <w:pPr>
        <w:pStyle w:val="Heading3"/>
      </w:pPr>
      <w:r>
        <w:rPr>
          <w:rFonts w:ascii="Calibri" w:hAnsi="Calibri"/>
          <w:color w:val="1F4D78"/>
          <w:sz w:val="24"/>
        </w:rPr>
        <w:t>PV-003: Missing Context Must Be Added Without Becoming Fiction</w:t>
      </w:r>
    </w:p>
    <w:p>
      <w:r>
        <w:rPr>
          <w:rFonts w:ascii="Calibri" w:hAnsi="Calibri"/>
          <w:sz w:val="22"/>
        </w:rPr>
        <w:t>Neither case supplied complete mission objectives, architecture, ownership, authorization, or consequence definitions. Reports still need enough context to be useful.</w:t>
      </w:r>
    </w:p>
    <w:p>
      <w:r>
        <w:rPr>
          <w:rFonts w:ascii="Calibri" w:hAnsi="Calibri"/>
          <w:b/>
          <w:sz w:val="22"/>
        </w:rPr>
        <w:t>Change made:</w:t>
      </w:r>
      <w:r>
        <w:rPr>
          <w:rFonts w:ascii="Calibri" w:hAnsi="Calibri"/>
          <w:sz w:val="22"/>
        </w:rPr>
        <w:t xml:space="preserve"> Added evidence dispositions that distinguish:</w:t>
      </w:r>
    </w:p>
    <w:p>
      <w:pPr>
        <w:pStyle w:val="ListBullet"/>
      </w:pPr>
      <w:r>
        <w:rPr>
          <w:rFonts w:ascii="Calibri" w:hAnsi="Calibri"/>
          <w:sz w:val="22"/>
        </w:rPr>
        <w:t>Evidence-backed fact.</w:t>
      </w:r>
    </w:p>
    <w:p>
      <w:pPr>
        <w:pStyle w:val="ListBullet"/>
      </w:pPr>
      <w:r>
        <w:rPr>
          <w:rFonts w:ascii="Calibri" w:hAnsi="Calibri"/>
          <w:sz w:val="22"/>
        </w:rPr>
        <w:t>Evidence-producer assertion.</w:t>
      </w:r>
    </w:p>
    <w:p>
      <w:pPr>
        <w:pStyle w:val="ListBullet"/>
      </w:pPr>
      <w:r>
        <w:rPr>
          <w:rFonts w:ascii="Calibri" w:hAnsi="Calibri"/>
          <w:sz w:val="22"/>
        </w:rPr>
        <w:t>Report-author inference.</w:t>
      </w:r>
    </w:p>
    <w:p>
      <w:pPr>
        <w:pStyle w:val="ListBullet"/>
      </w:pPr>
      <w:r>
        <w:rPr>
          <w:rFonts w:ascii="Calibri" w:hAnsi="Calibri"/>
          <w:sz w:val="22"/>
        </w:rPr>
        <w:t>Assumption.</w:t>
      </w:r>
    </w:p>
    <w:p>
      <w:pPr>
        <w:pStyle w:val="ListBullet"/>
      </w:pPr>
      <w:r>
        <w:rPr>
          <w:rFonts w:ascii="Calibri" w:hAnsi="Calibri"/>
          <w:sz w:val="22"/>
        </w:rPr>
        <w:t>Missing information.</w:t>
      </w:r>
    </w:p>
    <w:p>
      <w:pPr>
        <w:pStyle w:val="Heading3"/>
      </w:pPr>
      <w:r>
        <w:rPr>
          <w:rFonts w:ascii="Calibri" w:hAnsi="Calibri"/>
          <w:color w:val="1F4D78"/>
          <w:sz w:val="24"/>
        </w:rPr>
        <w:t>PV-004: Contradictions Need First-Class Treatment</w:t>
      </w:r>
    </w:p>
    <w:p>
      <w:r>
        <w:rPr>
          <w:rFonts w:ascii="Calibri" w:hAnsi="Calibri"/>
          <w:sz w:val="22"/>
        </w:rPr>
        <w:t>The USB case contains APID and payload-format contradictions. Quietly selecting one value would create an unreliable report.</w:t>
      </w:r>
    </w:p>
    <w:p>
      <w:r>
        <w:rPr>
          <w:rFonts w:ascii="Calibri" w:hAnsi="Calibri"/>
          <w:b/>
          <w:sz w:val="22"/>
        </w:rPr>
        <w:t>Change made:</w:t>
      </w:r>
      <w:r>
        <w:rPr>
          <w:rFonts w:ascii="Calibri" w:hAnsi="Calibri"/>
          <w:sz w:val="22"/>
        </w:rPr>
        <w:t xml:space="preserve"> Added contradiction records and required follow-up evidence.</w:t>
      </w:r>
    </w:p>
    <w:p>
      <w:pPr>
        <w:pStyle w:val="Heading3"/>
      </w:pPr>
      <w:r>
        <w:rPr>
          <w:rFonts w:ascii="Calibri" w:hAnsi="Calibri"/>
          <w:color w:val="1F4D78"/>
          <w:sz w:val="24"/>
        </w:rPr>
        <w:t>PV-005: Finding State and Report Maturity Are Different</w:t>
      </w:r>
    </w:p>
    <w:p>
      <w:r>
        <w:rPr>
          <w:rFonts w:ascii="Calibri" w:hAnsi="Calibri"/>
          <w:sz w:val="22"/>
        </w:rPr>
        <w:t>A provisional report may contain a confirmed technical finding, while a final report may still contain accepted risks.</w:t>
      </w:r>
    </w:p>
    <w:p>
      <w:r>
        <w:rPr>
          <w:rFonts w:ascii="Calibri" w:hAnsi="Calibri"/>
          <w:b/>
          <w:sz w:val="22"/>
        </w:rPr>
        <w:t>Change made:</w:t>
      </w:r>
      <w:r>
        <w:rPr>
          <w:rFonts w:ascii="Calibri" w:hAnsi="Calibri"/>
          <w:sz w:val="22"/>
        </w:rPr>
        <w:t xml:space="preserve"> Added Draft, Provisional, Final, and Superseded report-maturity states.</w:t>
      </w:r>
    </w:p>
    <w:p>
      <w:pPr>
        <w:pStyle w:val="Heading3"/>
      </w:pPr>
      <w:r>
        <w:rPr>
          <w:rFonts w:ascii="Calibri" w:hAnsi="Calibri"/>
          <w:color w:val="1F4D78"/>
          <w:sz w:val="24"/>
        </w:rPr>
        <w:t>PV-006: Supplied SPARTA Mappings Require Validation</w:t>
      </w:r>
    </w:p>
    <w:p>
      <w:r>
        <w:rPr>
          <w:rFonts w:ascii="Calibri" w:hAnsi="Calibri"/>
          <w:sz w:val="22"/>
        </w:rPr>
        <w:t xml:space="preserve">Both cases proposed </w:t>
      </w:r>
      <w:r>
        <w:rPr>
          <w:rFonts w:ascii="Courier New" w:hAnsi="Courier New"/>
          <w:color w:val="1F4D78"/>
          <w:sz w:val="20"/>
        </w:rPr>
        <w:t>EX-0005.01 Design Flaws</w:t>
      </w:r>
      <w:r>
        <w:rPr>
          <w:rFonts w:ascii="Calibri" w:hAnsi="Calibri"/>
          <w:sz w:val="22"/>
        </w:rPr>
        <w:t>, but the supplied evidence is more accurately related to software code flaws and command behavior. Mapping by title alone would have reduced report quality.</w:t>
      </w:r>
    </w:p>
    <w:p>
      <w:r>
        <w:rPr>
          <w:rFonts w:ascii="Calibri" w:hAnsi="Calibri"/>
          <w:b/>
          <w:sz w:val="22"/>
        </w:rPr>
        <w:t>Change made:</w:t>
      </w:r>
      <w:r>
        <w:rPr>
          <w:rFonts w:ascii="Calibri" w:hAnsi="Calibri"/>
          <w:sz w:val="22"/>
        </w:rPr>
        <w:t xml:space="preserve"> Retained the rule that mappings require rationale and added mapping corrections to the case reports.</w:t>
      </w:r>
    </w:p>
    <w:p>
      <w:pPr>
        <w:pStyle w:val="Heading3"/>
      </w:pPr>
      <w:r>
        <w:rPr>
          <w:rFonts w:ascii="Calibri" w:hAnsi="Calibri"/>
          <w:color w:val="1F4D78"/>
          <w:sz w:val="24"/>
        </w:rPr>
        <w:t>PV-007: FARI Must Not Create Work for an External Evidence Producer</w:t>
      </w:r>
    </w:p>
    <w:p>
      <w:r>
        <w:rPr>
          <w:rFonts w:ascii="Calibri" w:hAnsi="Calibri"/>
          <w:sz w:val="22"/>
        </w:rPr>
        <w:t>The initial process still expected a structured evidence package and method-run information from the evidence producer. An external auditor may have an independent contract, methodology, and report format and should not need FARI context.</w:t>
      </w:r>
    </w:p>
    <w:p>
      <w:r>
        <w:rPr>
          <w:rFonts w:ascii="Calibri" w:hAnsi="Calibri"/>
          <w:b/>
          <w:sz w:val="22"/>
        </w:rPr>
        <w:t>Change made:</w:t>
      </w:r>
      <w:r>
        <w:rPr>
          <w:rFonts w:ascii="Calibri" w:hAnsi="Calibri"/>
          <w:sz w:val="22"/>
        </w:rPr>
        <w:t xml:space="preserve"> Source material may now arrive in any format. All FARI normalization, contextual completion, mapping, conclusion, and reporting duties belong to the Report Author. The former evidence-package template was replaced with an internal source-material intake record.</w:t>
      </w:r>
    </w:p>
    <w:p>
      <w:pPr>
        <w:pStyle w:val="Heading3"/>
      </w:pPr>
      <w:r>
        <w:rPr>
          <w:rFonts w:ascii="Calibri" w:hAnsi="Calibri"/>
          <w:color w:val="1F4D78"/>
          <w:sz w:val="24"/>
        </w:rPr>
        <w:t>PV-008: Every Investigation Needs an Executive Conclusion</w:t>
      </w:r>
    </w:p>
    <w:p>
      <w:r>
        <w:rPr>
          <w:rFonts w:ascii="Calibri" w:hAnsi="Calibri"/>
          <w:sz w:val="22"/>
        </w:rPr>
        <w:t>Finding state, report maturity, risk, confidence, and assurance did not provide one obvious answer to "how did this investigation end?"</w:t>
      </w:r>
    </w:p>
    <w:p>
      <w:r>
        <w:rPr>
          <w:rFonts w:ascii="Calibri" w:hAnsi="Calibri"/>
          <w:b/>
          <w:sz w:val="22"/>
        </w:rPr>
        <w:t>Change made:</w:t>
      </w:r>
      <w:r>
        <w:rPr>
          <w:rFonts w:ascii="Calibri" w:hAnsi="Calibri"/>
          <w:sz w:val="22"/>
        </w:rPr>
        <w:t xml:space="preserve"> Added the mandatory FARI Result Card with Conclusion, Confidence, Required Action, Priority, Scope Boundary, and Rationale. The library case concludes </w:t>
      </w:r>
      <w:r>
        <w:rPr>
          <w:rFonts w:ascii="Courier New" w:hAnsi="Courier New"/>
          <w:color w:val="1F4D78"/>
          <w:sz w:val="20"/>
        </w:rPr>
        <w:t>Does Not Meet</w:t>
      </w:r>
      <w:r>
        <w:rPr>
          <w:rFonts w:ascii="Calibri" w:hAnsi="Calibri"/>
          <w:sz w:val="22"/>
        </w:rPr>
        <w:t xml:space="preserve">; the USB case concludes </w:t>
      </w:r>
      <w:r>
        <w:rPr>
          <w:rFonts w:ascii="Courier New" w:hAnsi="Courier New"/>
          <w:color w:val="1F4D78"/>
          <w:sz w:val="20"/>
        </w:rPr>
        <w:t>Inconclusive</w:t>
      </w:r>
      <w:r>
        <w:rPr>
          <w:rFonts w:ascii="Calibri" w:hAnsi="Calibri"/>
          <w:sz w:val="22"/>
        </w:rPr>
        <w:t>.</w:t>
      </w:r>
    </w:p>
    <w:p>
      <w:pPr>
        <w:pStyle w:val="Heading3"/>
      </w:pPr>
      <w:r>
        <w:rPr>
          <w:rFonts w:ascii="Calibri" w:hAnsi="Calibri"/>
          <w:color w:val="1F4D78"/>
          <w:sz w:val="24"/>
        </w:rPr>
        <w:t>PV-009: Inconclusive Is a Valid but Actionable Outcome</w:t>
      </w:r>
    </w:p>
    <w:p>
      <w:r>
        <w:rPr>
          <w:rFonts w:ascii="Calibri" w:hAnsi="Calibri"/>
          <w:sz w:val="22"/>
        </w:rPr>
        <w:t>An investigation may be unable to prove or disprove a claim because of scope, contradictions, or missing observations.</w:t>
      </w:r>
    </w:p>
    <w:p>
      <w:r>
        <w:rPr>
          <w:rFonts w:ascii="Calibri" w:hAnsi="Calibri"/>
          <w:b/>
          <w:sz w:val="22"/>
        </w:rPr>
        <w:t>Change made:</w:t>
      </w:r>
      <w:r>
        <w:rPr>
          <w:rFonts w:ascii="Calibri" w:hAnsi="Calibri"/>
          <w:sz w:val="22"/>
        </w:rPr>
        <w:t xml:space="preserve"> </w:t>
      </w:r>
      <w:r>
        <w:rPr>
          <w:rFonts w:ascii="Courier New" w:hAnsi="Courier New"/>
          <w:color w:val="1F4D78"/>
          <w:sz w:val="20"/>
        </w:rPr>
        <w:t>Inconclusive</w:t>
      </w:r>
      <w:r>
        <w:rPr>
          <w:rFonts w:ascii="Calibri" w:hAnsi="Calibri"/>
          <w:sz w:val="22"/>
        </w:rPr>
        <w:t xml:space="preserve"> is now a first-class FARI Conclusion and must create an investigation-extension or retest action.</w:t>
      </w:r>
    </w:p>
    <w:p>
      <w:pPr>
        <w:pStyle w:val="Heading3"/>
      </w:pPr>
      <w:r>
        <w:rPr>
          <w:rFonts w:ascii="Calibri" w:hAnsi="Calibri"/>
          <w:color w:val="1F4D78"/>
          <w:sz w:val="24"/>
        </w:rPr>
        <w:t>PV-010: Multiple Reports Need One Consolidated Assessment</w:t>
      </w:r>
    </w:p>
    <w:p>
      <w:r>
        <w:rPr>
          <w:rFonts w:ascii="Calibri" w:hAnsi="Calibri"/>
          <w:sz w:val="22"/>
        </w:rPr>
        <w:t>Individual reports do not provide a practical executive view for an infrastructure-wide assessment.</w:t>
      </w:r>
    </w:p>
    <w:p>
      <w:r>
        <w:rPr>
          <w:rFonts w:ascii="Calibri" w:hAnsi="Calibri"/>
          <w:b/>
          <w:sz w:val="22"/>
        </w:rPr>
        <w:t>Change made:</w:t>
      </w:r>
      <w:r>
        <w:rPr>
          <w:rFonts w:ascii="Calibri" w:hAnsi="Calibri"/>
          <w:sz w:val="22"/>
        </w:rPr>
        <w:t xml:space="preserve"> Multi-investigation assessments now require one consolidated assessment report. Gating claims determine the overall conclusion without averaging or creating a numeric security score.</w:t>
      </w:r>
    </w:p>
    <w:p>
      <w:pPr>
        <w:pStyle w:val="Heading3"/>
      </w:pPr>
      <w:r>
        <w:rPr>
          <w:rFonts w:ascii="Calibri" w:hAnsi="Calibri"/>
          <w:color w:val="1F4D78"/>
          <w:sz w:val="24"/>
        </w:rPr>
        <w:t>PV-011: A Generic Auditor Form Is Useful Only When It Remains Optional</w:t>
      </w:r>
    </w:p>
    <w:p>
      <w:r>
        <w:rPr>
          <w:rFonts w:ascii="Calibri" w:hAnsi="Calibri"/>
          <w:sz w:val="22"/>
        </w:rPr>
        <w:t>The supplied cases use a recurring technical structure: scenario, access, environment, tooling, execution, finding, and mappings. That structure is useful for ingestion, but requiring it would contradict the no-external-auditor-burden principle.</w:t>
      </w:r>
    </w:p>
    <w:p>
      <w:r>
        <w:rPr>
          <w:rFonts w:ascii="Calibri" w:hAnsi="Calibri"/>
          <w:b/>
          <w:sz w:val="22"/>
        </w:rPr>
        <w:t>Change made:</w:t>
      </w:r>
      <w:r>
        <w:rPr>
          <w:rFonts w:ascii="Calibri" w:hAnsi="Calibri"/>
          <w:sz w:val="22"/>
        </w:rPr>
        <w:t xml:space="preserve"> Added an Optional Technical Finding Submission Form using framework-neutral language. An auditor may use it when convenient, while the Report Author remains responsible for all FARI-specific work.</w:t>
      </w:r>
    </w:p>
    <w:p>
      <w:pPr>
        <w:pStyle w:val="Heading3"/>
      </w:pPr>
      <w:r>
        <w:rPr>
          <w:rFonts w:ascii="Calibri" w:hAnsi="Calibri"/>
          <w:color w:val="1F4D78"/>
          <w:sz w:val="24"/>
        </w:rPr>
        <w:t>PV-012: A Screenshot Can Prove an Action Without Proving Its Cause or Impact</w:t>
      </w:r>
    </w:p>
    <w:p>
      <w:r>
        <w:rPr>
          <w:rFonts w:ascii="Calibri" w:hAnsi="Calibri"/>
          <w:sz w:val="22"/>
        </w:rPr>
        <w:t>The new USB screenshot proves that a malformed packet was constructed and sent, but a timeout alone does not prove memory corruption or persistent denial of service. The SpaceCAN screenshots show injection, replay, and changed displayed values, but do not prove physical actuator behavior.</w:t>
      </w:r>
    </w:p>
    <w:p>
      <w:r>
        <w:rPr>
          <w:rFonts w:ascii="Calibri" w:hAnsi="Calibri"/>
          <w:b/>
          <w:sz w:val="22"/>
        </w:rPr>
        <w:t>Change made:</w:t>
      </w:r>
      <w:r>
        <w:rPr>
          <w:rFonts w:ascii="Calibri" w:hAnsi="Calibri"/>
          <w:sz w:val="22"/>
        </w:rPr>
        <w:t xml:space="preserve"> Evidence reviews must state exactly what each artifact proves and must not use screenshots as automatic proof of causal or mission-level impact.</w:t>
      </w:r>
    </w:p>
    <w:p>
      <w:pPr>
        <w:pStyle w:val="Heading3"/>
      </w:pPr>
      <w:r>
        <w:rPr>
          <w:rFonts w:ascii="Calibri" w:hAnsi="Calibri"/>
          <w:color w:val="1F4D78"/>
          <w:sz w:val="24"/>
        </w:rPr>
        <w:t>PV-013: One Investigation Can Contain Confirmed and Candidate Findings</w:t>
      </w:r>
    </w:p>
    <w:p>
      <w:r>
        <w:rPr>
          <w:rFonts w:ascii="Calibri" w:hAnsi="Calibri"/>
          <w:sz w:val="22"/>
        </w:rPr>
        <w:t>The SpaceCAN case supports a demonstrated spoofing/display-trust failure while the replay-specific receiver effect remains only partially evidenced.</w:t>
      </w:r>
    </w:p>
    <w:p>
      <w:r>
        <w:rPr>
          <w:rFonts w:ascii="Calibri" w:hAnsi="Calibri"/>
          <w:b/>
          <w:sz w:val="22"/>
        </w:rPr>
        <w:t>Change made:</w:t>
      </w:r>
      <w:r>
        <w:rPr>
          <w:rFonts w:ascii="Calibri" w:hAnsi="Calibri"/>
          <w:sz w:val="22"/>
        </w:rPr>
        <w:t xml:space="preserve"> The investigation conclusion is derived from its gating claim, while each finding keeps its own state and evidence boundary.</w:t>
      </w:r>
    </w:p>
    <w:p>
      <w:pPr>
        <w:pStyle w:val="Heading3"/>
      </w:pPr>
      <w:r>
        <w:rPr>
          <w:rFonts w:ascii="Calibri" w:hAnsi="Calibri"/>
          <w:color w:val="1F4D78"/>
          <w:sz w:val="24"/>
        </w:rPr>
        <w:t>PV-014: Repeated Generic Finding Text Is a Source-Material Quality Signal</w:t>
      </w:r>
    </w:p>
    <w:p>
      <w:r>
        <w:rPr>
          <w:rFonts w:ascii="Calibri" w:hAnsi="Calibri"/>
          <w:sz w:val="22"/>
        </w:rPr>
        <w:t>Both new cases contain a copied denial-of-service statement that does not match their evidence. The repetition is not harmless formatting; it can create a false conclusion if copied into an executive report.</w:t>
      </w:r>
    </w:p>
    <w:p>
      <w:r>
        <w:rPr>
          <w:rFonts w:ascii="Calibri" w:hAnsi="Calibri"/>
          <w:b/>
          <w:sz w:val="22"/>
        </w:rPr>
        <w:t>Change made:</w:t>
      </w:r>
      <w:r>
        <w:rPr>
          <w:rFonts w:ascii="Calibri" w:hAnsi="Calibri"/>
          <w:sz w:val="22"/>
        </w:rPr>
        <w:t xml:space="preserve"> The intake review explicitly identifies copied or unrelated finding text as a contradiction and excludes it from the conclusion.</w:t>
      </w:r>
    </w:p>
    <w:p>
      <w:pPr>
        <w:pStyle w:val="Heading3"/>
      </w:pPr>
      <w:r>
        <w:rPr>
          <w:rFonts w:ascii="Calibri" w:hAnsi="Calibri"/>
          <w:color w:val="1F4D78"/>
          <w:sz w:val="24"/>
        </w:rPr>
        <w:t>PV-015: SPARTA Mappings Need Technique-Level Precision</w:t>
      </w:r>
    </w:p>
    <w:p>
      <w:r>
        <w:rPr>
          <w:rFonts w:ascii="Calibri" w:hAnsi="Calibri"/>
          <w:sz w:val="22"/>
        </w:rPr>
        <w:t xml:space="preserve">The SpaceCAN source material mapped replay to bus spoofing and uplink eavesdropping. The more precise replay mapping is </w:t>
      </w:r>
      <w:r>
        <w:rPr>
          <w:rFonts w:ascii="Courier New" w:hAnsi="Courier New"/>
          <w:color w:val="1F4D78"/>
          <w:sz w:val="20"/>
        </w:rPr>
        <w:t>EX-0001.02 Bus Traffic Replay</w:t>
      </w:r>
      <w:r>
        <w:rPr>
          <w:rFonts w:ascii="Calibri" w:hAnsi="Calibri"/>
          <w:sz w:val="22"/>
        </w:rPr>
        <w:t>; uplink interception is not demonstrated by a local replay file.</w:t>
      </w:r>
    </w:p>
    <w:p>
      <w:r>
        <w:rPr>
          <w:rFonts w:ascii="Calibri" w:hAnsi="Calibri"/>
          <w:b/>
          <w:sz w:val="22"/>
        </w:rPr>
        <w:t>Change made:</w:t>
      </w:r>
      <w:r>
        <w:rPr>
          <w:rFonts w:ascii="Calibri" w:hAnsi="Calibri"/>
          <w:sz w:val="22"/>
        </w:rPr>
        <w:t xml:space="preserve"> FARI continues to preserve proposed mappings as source material, but the Report Author validates, corrects, or rejects them with rationale.</w:t>
      </w:r>
    </w:p>
    <w:p>
      <w:pPr>
        <w:pStyle w:val="Heading2"/>
      </w:pPr>
      <w:r>
        <w:rPr>
          <w:rFonts w:ascii="Calibri" w:hAnsi="Calibri"/>
          <w:color w:val="2E74B5"/>
          <w:sz w:val="26"/>
        </w:rPr>
        <w:t>Current FARI Reporting Workflow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2"/>
      </w:pPr>
      <w:r>
        <w:rPr>
          <w:rFonts w:ascii="Calibri" w:hAnsi="Calibri"/>
          <w:color w:val="2E74B5"/>
          <w:sz w:val="26"/>
        </w:rPr>
        <w:t>Remaining Framework Validation Gaps</w:t>
      </w:r>
    </w:p>
    <w:p>
      <w:r>
        <w:rPr>
          <w:rFonts w:ascii="Calibri" w:hAnsi="Calibri"/>
          <w:sz w:val="22"/>
        </w:rPr>
        <w:t>The four pilots validate intake, contradictory evidence, confirmed and inconclusive outcomes, SPARTA correction, and consolidation. They do not yet validate:</w:t>
      </w:r>
    </w:p>
    <w:p>
      <w:pPr>
        <w:pStyle w:val="ListBullet"/>
      </w:pPr>
      <w:r>
        <w:rPr>
          <w:rFonts w:ascii="Calibri" w:hAnsi="Calibri"/>
          <w:sz w:val="22"/>
        </w:rPr>
        <w:t xml:space="preserve">A </w:t>
      </w:r>
      <w:r>
        <w:rPr>
          <w:rFonts w:ascii="Courier New" w:hAnsi="Courier New"/>
          <w:color w:val="1F4D78"/>
          <w:sz w:val="20"/>
        </w:rPr>
        <w:t>Meets</w:t>
      </w:r>
      <w:r>
        <w:rPr>
          <w:rFonts w:ascii="Calibri" w:hAnsi="Calibri"/>
          <w:sz w:val="22"/>
        </w:rPr>
        <w:t xml:space="preserve"> investigation supported by positive control evidence.</w:t>
      </w:r>
    </w:p>
    <w:p>
      <w:pPr>
        <w:pStyle w:val="ListBullet"/>
      </w:pPr>
      <w:r>
        <w:rPr>
          <w:rFonts w:ascii="Calibri" w:hAnsi="Calibri"/>
          <w:sz w:val="22"/>
        </w:rPr>
        <w:t>A remediation retest that supersedes an earlier result.</w:t>
      </w:r>
    </w:p>
    <w:p>
      <w:pPr>
        <w:pStyle w:val="ListBullet"/>
      </w:pPr>
      <w:r>
        <w:rPr>
          <w:rFonts w:ascii="Calibri" w:hAnsi="Calibri"/>
          <w:sz w:val="22"/>
        </w:rPr>
        <w:t>Mission-owner confirmation of consequence, acceptance criteria, and residual risk.</w:t>
      </w:r>
    </w:p>
    <w:p>
      <w:pPr>
        <w:pStyle w:val="ListBullet"/>
      </w:pPr>
      <w:r>
        <w:rPr>
          <w:rFonts w:ascii="Calibri" w:hAnsi="Calibri"/>
          <w:sz w:val="22"/>
        </w:rPr>
        <w:t>Multiple independent evidence producers in one investigation.</w:t>
      </w:r>
    </w:p>
    <w:p>
      <w:pPr>
        <w:pStyle w:val="ListBullet"/>
      </w:pPr>
      <w:r>
        <w:rPr>
          <w:rFonts w:ascii="Calibri" w:hAnsi="Calibri"/>
          <w:sz w:val="22"/>
        </w:rPr>
        <w:t>Evidence integrity records, revisions, hashes, and chain of custody.</w:t>
      </w:r>
    </w:p>
    <w:p>
      <w:pPr>
        <w:pStyle w:val="ListBullet"/>
      </w:pPr>
      <w:r>
        <w:rPr>
          <w:rFonts w:ascii="Calibri" w:hAnsi="Calibri"/>
          <w:sz w:val="22"/>
        </w:rPr>
        <w:t>A Final report maturity transition.</w:t>
      </w:r>
    </w:p>
    <w:p>
      <w:pPr>
        <w:pStyle w:val="ListBullet"/>
      </w:pPr>
      <w:r>
        <w:rPr>
          <w:rFonts w:ascii="Calibri" w:hAnsi="Calibri"/>
          <w:sz w:val="22"/>
        </w:rPr>
        <w:t>A full manual-to-web round trip using the canonical schema.</w:t>
      </w:r>
    </w:p>
    <w:p>
      <w:pPr>
        <w:pStyle w:val="Heading2"/>
      </w:pPr>
      <w:r>
        <w:rPr>
          <w:rFonts w:ascii="Calibri" w:hAnsi="Calibri"/>
          <w:color w:val="2E74B5"/>
          <w:sz w:val="26"/>
        </w:rPr>
        <w:t>Recommended Next Validation</w:t>
      </w:r>
    </w:p>
    <w:p>
      <w:r>
        <w:rPr>
          <w:rFonts w:ascii="Calibri" w:hAnsi="Calibri"/>
          <w:sz w:val="22"/>
        </w:rPr>
        <w:t>Use FARI next on a case or portfolio that contains:</w:t>
      </w:r>
    </w:p>
    <w:p>
      <w:pPr>
        <w:pStyle w:val="ListBullet"/>
      </w:pPr>
      <w:r>
        <w:rPr>
          <w:rFonts w:ascii="Calibri" w:hAnsi="Calibri"/>
          <w:sz w:val="22"/>
        </w:rPr>
        <w:t>Multiple evidence producers or methods.</w:t>
      </w:r>
    </w:p>
    <w:p>
      <w:pPr>
        <w:pStyle w:val="ListBullet"/>
      </w:pPr>
      <w:r>
        <w:rPr>
          <w:rFonts w:ascii="Calibri" w:hAnsi="Calibri"/>
          <w:sz w:val="22"/>
        </w:rPr>
        <w:t>At least one implemented control whose effectiveness can be credited.</w:t>
      </w:r>
    </w:p>
    <w:p>
      <w:pPr>
        <w:pStyle w:val="ListBullet"/>
      </w:pPr>
      <w:r>
        <w:rPr>
          <w:rFonts w:ascii="Calibri" w:hAnsi="Calibri"/>
          <w:sz w:val="22"/>
        </w:rPr>
        <w:t>Mission-owner confirmation of consequence and residual risk.</w:t>
      </w:r>
    </w:p>
    <w:p>
      <w:pPr>
        <w:pStyle w:val="ListBullet"/>
      </w:pPr>
      <w:r>
        <w:rPr>
          <w:rFonts w:ascii="Calibri" w:hAnsi="Calibri"/>
          <w:sz w:val="22"/>
        </w:rPr>
        <w:t>A remediation retest.</w:t>
      </w:r>
    </w:p>
    <w:p>
      <w:pPr>
        <w:pStyle w:val="ListBullet"/>
      </w:pPr>
      <w:r>
        <w:rPr>
          <w:rFonts w:ascii="Calibri" w:hAnsi="Calibri"/>
          <w:sz w:val="22"/>
        </w:rPr>
        <w:t>Source-material revisions and integrity metadata.</w:t>
      </w:r>
    </w:p>
    <w:p>
      <w:r>
        <w:rPr>
          <w:rFonts w:ascii="Calibri" w:hAnsi="Calibri"/>
          <w:sz w:val="22"/>
        </w:rPr>
        <w:t>That pilot will validate the transition from a Provisional report to a Final FARI report.</w:t>
      </w:r>
    </w:p>
    <w:p>
      <w:r>
        <w:br w:type="page"/>
      </w:r>
    </w:p>
    <w:p>
      <w:pPr>
        <w:pStyle w:val="Heading1"/>
      </w:pPr>
      <w:r>
        <w:rPr>
          <w:rFonts w:ascii="Calibri" w:hAnsi="Calibri"/>
          <w:color w:val="2E74B5"/>
          <w:sz w:val="32"/>
        </w:rPr>
        <w:t>Appendix E: Web Application Requirements</w:t>
      </w:r>
    </w:p>
    <w:p>
      <w:pPr>
        <w:pStyle w:val="Heading2"/>
      </w:pPr>
      <w:r>
        <w:rPr>
          <w:rFonts w:ascii="Calibri" w:hAnsi="Calibri"/>
          <w:color w:val="2E74B5"/>
          <w:sz w:val="26"/>
        </w:rPr>
        <w:t>1. Purpose</w:t>
      </w:r>
    </w:p>
    <w:p>
      <w:r>
        <w:rPr>
          <w:rFonts w:ascii="Calibri" w:hAnsi="Calibri"/>
          <w:sz w:val="22"/>
        </w:rPr>
        <w:t>This document defines the minimum product behavior for a future FARI web application. The application must make the Report Author workflow easier without changing the methodology or creating responsibilities for external evidence producers.</w:t>
      </w:r>
    </w:p>
    <w:p>
      <w:r>
        <w:rPr>
          <w:rFonts w:ascii="Calibri" w:hAnsi="Calibri"/>
          <w:sz w:val="22"/>
        </w:rPr>
        <w:t>The same FARI analysis must remain practical using Markdown, documents, and tables when the web application is unavailable.</w:t>
      </w:r>
    </w:p>
    <w:p>
      <w:pPr>
        <w:pStyle w:val="Heading2"/>
      </w:pPr>
      <w:r>
        <w:rPr>
          <w:rFonts w:ascii="Calibri" w:hAnsi="Calibri"/>
          <w:color w:val="2E74B5"/>
          <w:sz w:val="26"/>
        </w:rPr>
        <w:t>2. Core Product Boundary</w:t>
      </w:r>
    </w:p>
    <w:p>
      <w:r>
        <w:rPr>
          <w:rFonts w:ascii="Calibri" w:hAnsi="Calibri"/>
          <w:sz w:val="22"/>
        </w:rPr>
        <w:t>The application primarily serves the Assessment Owner and Report Author. An external auditor may provide files, reports, notes, or evidence through any agreed channel and does not need a FARI account, FARI knowledge, or a FARI form. An optional framework-neutral technical submission form may be offered, but it must never become the only intake path.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2"/>
      </w:pPr>
      <w:r>
        <w:rPr>
          <w:rFonts w:ascii="Calibri" w:hAnsi="Calibri"/>
          <w:color w:val="2E74B5"/>
          <w:sz w:val="26"/>
        </w:rPr>
        <w:t>3. Required Workflows</w:t>
      </w:r>
    </w:p>
    <w:p>
      <w:pPr>
        <w:pStyle w:val="Heading3"/>
      </w:pPr>
      <w:r>
        <w:rPr>
          <w:rFonts w:ascii="Calibri" w:hAnsi="Calibri"/>
          <w:color w:val="1F4D78"/>
          <w:sz w:val="24"/>
        </w:rPr>
        <w:t>3.1 Create and Frame an Assessment</w:t>
      </w:r>
    </w:p>
    <w:p>
      <w:r>
        <w:rPr>
          <w:rFonts w:ascii="Calibri" w:hAnsi="Calibri"/>
          <w:sz w:val="22"/>
        </w:rPr>
        <w:t>The application must guide the Report Author through:</w:t>
      </w:r>
    </w:p>
    <w:p>
      <w:pPr>
        <w:spacing w:after="80" w:line="300" w:lineRule="auto"/>
        <w:numPr>
          <w:ilvl w:val="0"/>
          <w:numId w:val="21"/>
        </w:numPr>
      </w:pPr>
      <w:r>
        <w:rPr>
          <w:rFonts w:ascii="Calibri" w:hAnsi="Calibri"/>
          <w:sz w:val="22"/>
        </w:rPr>
        <w:t>Assessment identity, mission or infrastructure context, and scope.</w:t>
      </w:r>
    </w:p>
    <w:p>
      <w:pPr>
        <w:spacing w:after="80" w:line="300" w:lineRule="auto"/>
        <w:numPr>
          <w:ilvl w:val="0"/>
          <w:numId w:val="21"/>
        </w:numPr>
      </w:pPr>
      <w:r>
        <w:rPr>
          <w:rFonts w:ascii="Calibri" w:hAnsi="Calibri"/>
          <w:sz w:val="22"/>
        </w:rPr>
        <w:t>Asset and dependency registration.</w:t>
      </w:r>
    </w:p>
    <w:p>
      <w:pPr>
        <w:spacing w:after="80" w:line="300" w:lineRule="auto"/>
        <w:numPr>
          <w:ilvl w:val="0"/>
          <w:numId w:val="21"/>
        </w:numPr>
      </w:pPr>
      <w:r>
        <w:rPr>
          <w:rFonts w:ascii="Calibri" w:hAnsi="Calibri"/>
          <w:sz w:val="22"/>
        </w:rPr>
        <w:t>Claims, acceptance criteria, and gating-claim selection.</w:t>
      </w:r>
    </w:p>
    <w:p>
      <w:pPr>
        <w:spacing w:after="80" w:line="300" w:lineRule="auto"/>
        <w:numPr>
          <w:ilvl w:val="0"/>
          <w:numId w:val="21"/>
        </w:numPr>
      </w:pPr>
      <w:r>
        <w:rPr>
          <w:rFonts w:ascii="Calibri" w:hAnsi="Calibri"/>
          <w:sz w:val="22"/>
        </w:rPr>
        <w:t>Authorization, safety constraints, exclusions, and assumptions.</w:t>
      </w:r>
    </w:p>
    <w:p>
      <w:pPr>
        <w:spacing w:after="80" w:line="300" w:lineRule="auto"/>
        <w:numPr>
          <w:ilvl w:val="0"/>
          <w:numId w:val="21"/>
        </w:numPr>
      </w:pPr>
      <w:r>
        <w:rPr>
          <w:rFonts w:ascii="Calibri" w:hAnsi="Calibri"/>
          <w:sz w:val="22"/>
        </w:rPr>
        <w:t>Optional SPARTA and organizational profile selection.</w:t>
      </w:r>
    </w:p>
    <w:p>
      <w:pPr>
        <w:pStyle w:val="Heading3"/>
      </w:pPr>
      <w:r>
        <w:rPr>
          <w:rFonts w:ascii="Calibri" w:hAnsi="Calibri"/>
          <w:color w:val="1F4D78"/>
          <w:sz w:val="24"/>
        </w:rPr>
        <w:t>3.2 Ingest Arbitrary Source Material</w:t>
      </w:r>
    </w:p>
    <w:p>
      <w:r>
        <w:rPr>
          <w:rFonts w:ascii="Calibri" w:hAnsi="Calibri"/>
          <w:sz w:val="22"/>
        </w:rPr>
        <w:t>The application must:</w:t>
      </w:r>
    </w:p>
    <w:p>
      <w:pPr>
        <w:pStyle w:val="ListBullet"/>
      </w:pPr>
      <w:r>
        <w:rPr>
          <w:rFonts w:ascii="Calibri" w:hAnsi="Calibri"/>
          <w:sz w:val="22"/>
        </w:rPr>
        <w:t>Accept arbitrary files, folders, pasted text, URLs, and interview notes.</w:t>
      </w:r>
    </w:p>
    <w:p>
      <w:pPr>
        <w:pStyle w:val="ListBullet"/>
      </w:pPr>
      <w:r>
        <w:rPr>
          <w:rFonts w:ascii="Calibri" w:hAnsi="Calibri"/>
          <w:sz w:val="22"/>
        </w:rPr>
        <w:t>Preserve original material without modifying it.</w:t>
      </w:r>
    </w:p>
    <w:p>
      <w:pPr>
        <w:pStyle w:val="ListBullet"/>
      </w:pPr>
      <w:r>
        <w:rPr>
          <w:rFonts w:ascii="Calibri" w:hAnsi="Calibri"/>
          <w:sz w:val="22"/>
        </w:rPr>
        <w:t>Record provenance, receipt date, integrity values, and handling restrictions when available.</w:t>
      </w:r>
    </w:p>
    <w:p>
      <w:pPr>
        <w:pStyle w:val="ListBullet"/>
      </w:pPr>
      <w:r>
        <w:rPr>
          <w:rFonts w:ascii="Calibri" w:hAnsi="Calibri"/>
          <w:sz w:val="22"/>
        </w:rPr>
        <w:t>Allow the Report Author to create FARI records from the material.</w:t>
      </w:r>
    </w:p>
    <w:p>
      <w:pPr>
        <w:pStyle w:val="ListBullet"/>
      </w:pPr>
      <w:r>
        <w:rPr>
          <w:rFonts w:ascii="Calibri" w:hAnsi="Calibri"/>
          <w:sz w:val="22"/>
        </w:rPr>
        <w:t>Never require an external auditor to complete FARI-specific fields.</w:t>
      </w:r>
    </w:p>
    <w:p>
      <w:r>
        <w:rPr>
          <w:rFonts w:ascii="Calibri" w:hAnsi="Calibri"/>
          <w:sz w:val="22"/>
        </w:rPr>
        <w:t>The application may expose the Optional Technical Finding Submission Form as a low-friction upload aid. That workflow must use ordinary technical-reporting language, permit partial submissions, and route all FARI-specific fields to the Report Author workflow.</w:t>
      </w:r>
    </w:p>
    <w:p>
      <w:pPr>
        <w:pStyle w:val="Heading3"/>
      </w:pPr>
      <w:r>
        <w:rPr>
          <w:rFonts w:ascii="Calibri" w:hAnsi="Calibri"/>
          <w:color w:val="1F4D78"/>
          <w:sz w:val="24"/>
        </w:rPr>
        <w:t>3.3 Guided Source-Material Review</w:t>
      </w:r>
    </w:p>
    <w:p>
      <w:r>
        <w:rPr>
          <w:rFonts w:ascii="Calibri" w:hAnsi="Calibri"/>
          <w:sz w:val="22"/>
        </w:rPr>
        <w:t>For each source item, the application must guide the Report Author to record:</w:t>
      </w:r>
    </w:p>
    <w:p>
      <w:pPr>
        <w:pStyle w:val="ListBullet"/>
      </w:pPr>
      <w:r>
        <w:rPr>
          <w:rFonts w:ascii="Calibri" w:hAnsi="Calibri"/>
          <w:sz w:val="22"/>
        </w:rPr>
        <w:t>Evidence-backed facts.</w:t>
      </w:r>
    </w:p>
    <w:p>
      <w:pPr>
        <w:pStyle w:val="ListBullet"/>
      </w:pPr>
      <w:r>
        <w:rPr>
          <w:rFonts w:ascii="Calibri" w:hAnsi="Calibri"/>
          <w:sz w:val="22"/>
        </w:rPr>
        <w:t>Evidence-producer assertions.</w:t>
      </w:r>
    </w:p>
    <w:p>
      <w:pPr>
        <w:pStyle w:val="ListBullet"/>
      </w:pPr>
      <w:r>
        <w:rPr>
          <w:rFonts w:ascii="Calibri" w:hAnsi="Calibri"/>
          <w:sz w:val="22"/>
        </w:rPr>
        <w:t>Report-author inferences.</w:t>
      </w:r>
    </w:p>
    <w:p>
      <w:pPr>
        <w:pStyle w:val="ListBullet"/>
      </w:pPr>
      <w:r>
        <w:rPr>
          <w:rFonts w:ascii="Calibri" w:hAnsi="Calibri"/>
          <w:sz w:val="22"/>
        </w:rPr>
        <w:t>Assumptions.</w:t>
      </w:r>
    </w:p>
    <w:p>
      <w:pPr>
        <w:pStyle w:val="ListBullet"/>
      </w:pPr>
      <w:r>
        <w:rPr>
          <w:rFonts w:ascii="Calibri" w:hAnsi="Calibri"/>
          <w:sz w:val="22"/>
        </w:rPr>
        <w:t>Contradictions and missing information.</w:t>
      </w:r>
    </w:p>
    <w:p>
      <w:pPr>
        <w:pStyle w:val="ListBullet"/>
      </w:pPr>
      <w:r>
        <w:rPr>
          <w:rFonts w:ascii="Calibri" w:hAnsi="Calibri"/>
          <w:sz w:val="22"/>
        </w:rPr>
        <w:t>Sufficiency for technical condition, reachability, and mission consequence.</w:t>
      </w:r>
    </w:p>
    <w:p>
      <w:pPr>
        <w:pStyle w:val="Heading3"/>
      </w:pPr>
      <w:r>
        <w:rPr>
          <w:rFonts w:ascii="Calibri" w:hAnsi="Calibri"/>
          <w:color w:val="1F4D78"/>
          <w:sz w:val="24"/>
        </w:rPr>
        <w:t>3.4 Investigation Conclusion</w:t>
      </w:r>
    </w:p>
    <w:p>
      <w:r>
        <w:rPr>
          <w:rFonts w:ascii="Calibri" w:hAnsi="Calibri"/>
          <w:sz w:val="22"/>
        </w:rPr>
        <w:t>The application must prevent publication of an investigation report until its FARI Result Card contains:</w:t>
      </w:r>
    </w:p>
    <w:p>
      <w:pPr>
        <w:pStyle w:val="ListBullet"/>
      </w:pPr>
      <w:r>
        <w:rPr>
          <w:rFonts w:ascii="Calibri" w:hAnsi="Calibri"/>
          <w:sz w:val="22"/>
        </w:rPr>
        <w:t>Conclusion.</w:t>
      </w:r>
    </w:p>
    <w:p>
      <w:pPr>
        <w:pStyle w:val="ListBullet"/>
      </w:pPr>
      <w:r>
        <w:rPr>
          <w:rFonts w:ascii="Calibri" w:hAnsi="Calibri"/>
          <w:sz w:val="22"/>
        </w:rPr>
        <w:t>Confidence.</w:t>
      </w:r>
    </w:p>
    <w:p>
      <w:pPr>
        <w:pStyle w:val="ListBullet"/>
      </w:pPr>
      <w:r>
        <w:rPr>
          <w:rFonts w:ascii="Calibri" w:hAnsi="Calibri"/>
          <w:sz w:val="22"/>
        </w:rPr>
        <w:t>Required Action.</w:t>
      </w:r>
    </w:p>
    <w:p>
      <w:pPr>
        <w:pStyle w:val="ListBullet"/>
      </w:pPr>
      <w:r>
        <w:rPr>
          <w:rFonts w:ascii="Calibri" w:hAnsi="Calibri"/>
          <w:sz w:val="22"/>
        </w:rPr>
        <w:t>Priority.</w:t>
      </w:r>
    </w:p>
    <w:p>
      <w:pPr>
        <w:pStyle w:val="ListBullet"/>
      </w:pPr>
      <w:r>
        <w:rPr>
          <w:rFonts w:ascii="Calibri" w:hAnsi="Calibri"/>
          <w:sz w:val="22"/>
        </w:rPr>
        <w:t>Scope Boundary.</w:t>
      </w:r>
    </w:p>
    <w:p>
      <w:pPr>
        <w:pStyle w:val="ListBullet"/>
      </w:pPr>
      <w:r>
        <w:rPr>
          <w:rFonts w:ascii="Calibri" w:hAnsi="Calibri"/>
          <w:sz w:val="22"/>
        </w:rPr>
        <w:t>Rationale.</w:t>
      </w:r>
    </w:p>
    <w:p>
      <w:r>
        <w:rPr>
          <w:rFonts w:ascii="Calibri" w:hAnsi="Calibri"/>
          <w:sz w:val="22"/>
        </w:rPr>
        <w:t xml:space="preserve">When </w:t>
      </w:r>
      <w:r>
        <w:rPr>
          <w:rFonts w:ascii="Courier New" w:hAnsi="Courier New"/>
          <w:color w:val="1F4D78"/>
          <w:sz w:val="20"/>
        </w:rPr>
        <w:t>Inconclusive</w:t>
      </w:r>
      <w:r>
        <w:rPr>
          <w:rFonts w:ascii="Calibri" w:hAnsi="Calibri"/>
          <w:sz w:val="22"/>
        </w:rPr>
        <w:t xml:space="preserve"> is selected, the application must require an investigation extension, evidence request, or retest action.</w:t>
      </w:r>
    </w:p>
    <w:p>
      <w:pPr>
        <w:pStyle w:val="Heading3"/>
      </w:pPr>
      <w:r>
        <w:rPr>
          <w:rFonts w:ascii="Calibri" w:hAnsi="Calibri"/>
          <w:color w:val="1F4D78"/>
          <w:sz w:val="24"/>
        </w:rPr>
        <w:t>3.5 Consolidation</w:t>
      </w:r>
    </w:p>
    <w:p>
      <w:r>
        <w:rPr>
          <w:rFonts w:ascii="Calibri" w:hAnsi="Calibri"/>
          <w:sz w:val="22"/>
        </w:rPr>
        <w:t>The application must:</w:t>
      </w:r>
    </w:p>
    <w:p>
      <w:pPr>
        <w:pStyle w:val="ListBullet"/>
      </w:pPr>
      <w:r>
        <w:rPr>
          <w:rFonts w:ascii="Calibri" w:hAnsi="Calibri"/>
          <w:sz w:val="22"/>
        </w:rPr>
        <w:t>Present all investigation and claim conclusions in one matrix.</w:t>
      </w:r>
    </w:p>
    <w:p>
      <w:pPr>
        <w:pStyle w:val="ListBullet"/>
      </w:pPr>
      <w:r>
        <w:rPr>
          <w:rFonts w:ascii="Calibri" w:hAnsi="Calibri"/>
          <w:sz w:val="22"/>
        </w:rPr>
        <w:t>Derive the overall conclusion from declared gating claims.</w:t>
      </w:r>
    </w:p>
    <w:p>
      <w:pPr>
        <w:pStyle w:val="ListBullet"/>
      </w:pPr>
      <w:r>
        <w:rPr>
          <w:rFonts w:ascii="Calibri" w:hAnsi="Calibri"/>
          <w:sz w:val="22"/>
        </w:rPr>
        <w:t xml:space="preserve">Show which claim caused a </w:t>
      </w:r>
      <w:r>
        <w:rPr>
          <w:rFonts w:ascii="Courier New" w:hAnsi="Courier New"/>
          <w:color w:val="1F4D78"/>
          <w:sz w:val="20"/>
        </w:rPr>
        <w:t>Does Not Meet</w:t>
      </w:r>
      <w:r>
        <w:rPr>
          <w:rFonts w:ascii="Calibri" w:hAnsi="Calibri"/>
          <w:sz w:val="22"/>
        </w:rPr>
        <w:t xml:space="preserve"> or </w:t>
      </w:r>
      <w:r>
        <w:rPr>
          <w:rFonts w:ascii="Courier New" w:hAnsi="Courier New"/>
          <w:color w:val="1F4D78"/>
          <w:sz w:val="20"/>
        </w:rPr>
        <w:t>Inconclusive</w:t>
      </w:r>
      <w:r>
        <w:rPr>
          <w:rFonts w:ascii="Calibri" w:hAnsi="Calibri"/>
          <w:sz w:val="22"/>
        </w:rPr>
        <w:t xml:space="preserve"> result.</w:t>
      </w:r>
    </w:p>
    <w:p>
      <w:pPr>
        <w:pStyle w:val="ListBullet"/>
      </w:pPr>
      <w:r>
        <w:rPr>
          <w:rFonts w:ascii="Calibri" w:hAnsi="Calibri"/>
          <w:sz w:val="22"/>
        </w:rPr>
        <w:t>Count results and actions without creating an average security score.</w:t>
      </w:r>
    </w:p>
    <w:p>
      <w:pPr>
        <w:pStyle w:val="ListBullet"/>
      </w:pPr>
      <w:r>
        <w:rPr>
          <w:rFonts w:ascii="Calibri" w:hAnsi="Calibri"/>
          <w:sz w:val="22"/>
        </w:rPr>
        <w:t>Generate one consolidated assessment report with links to every investigation report.</w:t>
      </w:r>
    </w:p>
    <w:p>
      <w:pPr>
        <w:pStyle w:val="Heading3"/>
      </w:pPr>
      <w:r>
        <w:rPr>
          <w:rFonts w:ascii="Calibri" w:hAnsi="Calibri"/>
          <w:color w:val="1F4D78"/>
          <w:sz w:val="24"/>
        </w:rPr>
        <w:t>3.6 Retest and History</w:t>
      </w:r>
    </w:p>
    <w:p>
      <w:r>
        <w:rPr>
          <w:rFonts w:ascii="Calibri" w:hAnsi="Calibri"/>
          <w:sz w:val="22"/>
        </w:rPr>
        <w:t>The application must preserve immutable prior conclusions and link them to retests, remediation evidence, and superseding reports. A retest creates a new investigation result; it does not overwrite the original evidence.</w:t>
      </w:r>
    </w:p>
    <w:p>
      <w:pPr>
        <w:pStyle w:val="Heading2"/>
      </w:pPr>
      <w:r>
        <w:rPr>
          <w:rFonts w:ascii="Calibri" w:hAnsi="Calibri"/>
          <w:color w:val="2E74B5"/>
          <w:sz w:val="26"/>
        </w:rPr>
        <w:t>4. User Experience Requirements</w:t>
      </w:r>
    </w:p>
    <w:p>
      <w:pPr>
        <w:pStyle w:val="ListBullet"/>
      </w:pPr>
      <w:r>
        <w:rPr>
          <w:rFonts w:ascii="Calibri" w:hAnsi="Calibri"/>
          <w:sz w:val="22"/>
        </w:rPr>
        <w:t>Use progressive steps matching Frame, Acquire, Relate, and Inform.</w:t>
      </w:r>
    </w:p>
    <w:p>
      <w:pPr>
        <w:pStyle w:val="ListBullet"/>
      </w:pPr>
      <w:r>
        <w:rPr>
          <w:rFonts w:ascii="Calibri" w:hAnsi="Calibri"/>
          <w:sz w:val="22"/>
        </w:rPr>
        <w:t>Show a persistent completion checklist for Report Author obligations.</w:t>
      </w:r>
    </w:p>
    <w:p>
      <w:pPr>
        <w:pStyle w:val="ListBullet"/>
      </w:pPr>
      <w:r>
        <w:rPr>
          <w:rFonts w:ascii="Calibri" w:hAnsi="Calibri"/>
          <w:sz w:val="22"/>
        </w:rPr>
        <w:t>Keep source material visible beside the normalized FARI record.</w:t>
      </w:r>
    </w:p>
    <w:p>
      <w:pPr>
        <w:pStyle w:val="ListBullet"/>
      </w:pPr>
      <w:r>
        <w:rPr>
          <w:rFonts w:ascii="Calibri" w:hAnsi="Calibri"/>
          <w:sz w:val="22"/>
        </w:rPr>
        <w:t>Use controlled choices for conclusions, confidence, actions, priorities, coverage, and sufficiency.</w:t>
      </w:r>
    </w:p>
    <w:p>
      <w:pPr>
        <w:pStyle w:val="ListBullet"/>
      </w:pPr>
      <w:r>
        <w:rPr>
          <w:rFonts w:ascii="Calibri" w:hAnsi="Calibri"/>
          <w:sz w:val="22"/>
        </w:rPr>
        <w:t>Allow drafts and partial saves.</w:t>
      </w:r>
    </w:p>
    <w:p>
      <w:pPr>
        <w:pStyle w:val="ListBullet"/>
      </w:pPr>
      <w:r>
        <w:rPr>
          <w:rFonts w:ascii="Calibri" w:hAnsi="Calibri"/>
          <w:sz w:val="22"/>
        </w:rPr>
        <w:t>Display unresolved contradictions and missing gating claims before publication.</w:t>
      </w:r>
    </w:p>
    <w:p>
      <w:pPr>
        <w:pStyle w:val="ListBullet"/>
      </w:pPr>
      <w:r>
        <w:rPr>
          <w:rFonts w:ascii="Calibri" w:hAnsi="Calibri"/>
          <w:sz w:val="22"/>
        </w:rPr>
        <w:t>Generate readable reports without requiring manual post-processing.</w:t>
      </w:r>
    </w:p>
    <w:p>
      <w:pPr>
        <w:pStyle w:val="ListBullet"/>
      </w:pPr>
      <w:r>
        <w:rPr>
          <w:rFonts w:ascii="Calibri" w:hAnsi="Calibri"/>
          <w:sz w:val="22"/>
        </w:rPr>
        <w:t>Support manual export and import using the canonical JSON schema.</w:t>
      </w:r>
    </w:p>
    <w:p>
      <w:pPr>
        <w:pStyle w:val="ListBullet"/>
      </w:pPr>
      <w:r>
        <w:rPr>
          <w:rFonts w:ascii="Calibri" w:hAnsi="Calibri"/>
          <w:sz w:val="22"/>
        </w:rPr>
        <w:t>Clearly label any auditor-facing technical form as optional and allow direct file upload or free-form source material instead.</w:t>
      </w:r>
    </w:p>
    <w:p>
      <w:pPr>
        <w:pStyle w:val="Heading2"/>
      </w:pPr>
      <w:r>
        <w:rPr>
          <w:rFonts w:ascii="Calibri" w:hAnsi="Calibri"/>
          <w:color w:val="2E74B5"/>
          <w:sz w:val="26"/>
        </w:rPr>
        <w:t>5. Validation Rules</w:t>
      </w:r>
    </w:p>
    <w:p>
      <w:r>
        <w:rPr>
          <w:rFonts w:ascii="Calibri" w:hAnsi="Calibri"/>
          <w:sz w:val="22"/>
        </w:rPr>
        <w:t>The application must reject or warn on:</w:t>
      </w:r>
    </w:p>
    <w:p>
      <w:pPr>
        <w:pStyle w:val="ListBullet"/>
      </w:pPr>
      <w:r>
        <w:rPr>
          <w:rFonts w:ascii="Calibri" w:hAnsi="Calibri"/>
          <w:sz w:val="22"/>
        </w:rPr>
        <w:t>A confirmed finding without evidence references.</w:t>
      </w:r>
    </w:p>
    <w:p>
      <w:pPr>
        <w:pStyle w:val="ListBullet"/>
      </w:pPr>
      <w:r>
        <w:rPr>
          <w:rFonts w:ascii="Calibri" w:hAnsi="Calibri"/>
          <w:sz w:val="22"/>
        </w:rPr>
        <w:t>A Meets or Does Not Meet conclusion without rationale and scope boundary.</w:t>
      </w:r>
    </w:p>
    <w:p>
      <w:pPr>
        <w:pStyle w:val="ListBullet"/>
      </w:pPr>
      <w:r>
        <w:rPr>
          <w:rFonts w:ascii="Calibri" w:hAnsi="Calibri"/>
          <w:sz w:val="22"/>
        </w:rPr>
        <w:t>An Inconclusive conclusion without a next action.</w:t>
      </w:r>
    </w:p>
    <w:p>
      <w:pPr>
        <w:pStyle w:val="ListBullet"/>
      </w:pPr>
      <w:r>
        <w:rPr>
          <w:rFonts w:ascii="Calibri" w:hAnsi="Calibri"/>
          <w:sz w:val="22"/>
        </w:rPr>
        <w:t>A consolidated assessment without gating claims.</w:t>
      </w:r>
    </w:p>
    <w:p>
      <w:pPr>
        <w:pStyle w:val="ListBullet"/>
      </w:pPr>
      <w:r>
        <w:rPr>
          <w:rFonts w:ascii="Calibri" w:hAnsi="Calibri"/>
          <w:sz w:val="22"/>
        </w:rPr>
        <w:t>A Meets overall conclusion when any gating claim is unresolved.</w:t>
      </w:r>
    </w:p>
    <w:p>
      <w:pPr>
        <w:pStyle w:val="ListBullet"/>
      </w:pPr>
      <w:r>
        <w:rPr>
          <w:rFonts w:ascii="Calibri" w:hAnsi="Calibri"/>
          <w:sz w:val="22"/>
        </w:rPr>
        <w:t>An external mapping without rationale and access date.</w:t>
      </w:r>
    </w:p>
    <w:p>
      <w:pPr>
        <w:pStyle w:val="ListBullet"/>
      </w:pPr>
      <w:r>
        <w:rPr>
          <w:rFonts w:ascii="Calibri" w:hAnsi="Calibri"/>
          <w:sz w:val="22"/>
        </w:rPr>
        <w:t>An assumption represented as an observed fact.</w:t>
      </w:r>
    </w:p>
    <w:p>
      <w:pPr>
        <w:pStyle w:val="ListBullet"/>
      </w:pPr>
      <w:r>
        <w:rPr>
          <w:rFonts w:ascii="Calibri" w:hAnsi="Calibri"/>
          <w:sz w:val="22"/>
        </w:rPr>
        <w:t>Publication of multiple investigation reports without a consolidated report.</w:t>
      </w:r>
    </w:p>
    <w:p>
      <w:pPr>
        <w:pStyle w:val="Heading2"/>
      </w:pPr>
      <w:r>
        <w:rPr>
          <w:rFonts w:ascii="Calibri" w:hAnsi="Calibri"/>
          <w:color w:val="2E74B5"/>
          <w:sz w:val="26"/>
        </w:rPr>
        <w:t>6. Minimum Viable Product</w:t>
      </w:r>
    </w:p>
    <w:p>
      <w:r>
        <w:rPr>
          <w:rFonts w:ascii="Calibri" w:hAnsi="Calibri"/>
          <w:sz w:val="22"/>
        </w:rPr>
        <w:t>The first useful version should provide:</w:t>
      </w:r>
    </w:p>
    <w:p>
      <w:pPr>
        <w:spacing w:after="80" w:line="300" w:lineRule="auto"/>
        <w:numPr>
          <w:ilvl w:val="0"/>
          <w:numId w:val="22"/>
        </w:numPr>
      </w:pPr>
      <w:r>
        <w:rPr>
          <w:rFonts w:ascii="Calibri" w:hAnsi="Calibri"/>
          <w:sz w:val="22"/>
        </w:rPr>
        <w:t>Assessment, asset, claim, and investigation records.</w:t>
      </w:r>
    </w:p>
    <w:p>
      <w:pPr>
        <w:spacing w:after="80" w:line="300" w:lineRule="auto"/>
        <w:numPr>
          <w:ilvl w:val="0"/>
          <w:numId w:val="22"/>
        </w:numPr>
      </w:pPr>
      <w:r>
        <w:rPr>
          <w:rFonts w:ascii="Calibri" w:hAnsi="Calibri"/>
          <w:sz w:val="22"/>
        </w:rPr>
        <w:t>Arbitrary source-material upload and intake review.</w:t>
      </w:r>
    </w:p>
    <w:p>
      <w:pPr>
        <w:spacing w:after="80" w:line="300" w:lineRule="auto"/>
        <w:numPr>
          <w:ilvl w:val="0"/>
          <w:numId w:val="22"/>
        </w:numPr>
      </w:pPr>
      <w:r>
        <w:rPr>
          <w:rFonts w:ascii="Calibri" w:hAnsi="Calibri"/>
          <w:sz w:val="22"/>
        </w:rPr>
        <w:t>Finding and SPARTA mapping records.</w:t>
      </w:r>
    </w:p>
    <w:p>
      <w:pPr>
        <w:spacing w:after="80" w:line="300" w:lineRule="auto"/>
        <w:numPr>
          <w:ilvl w:val="0"/>
          <w:numId w:val="22"/>
        </w:numPr>
      </w:pPr>
      <w:r>
        <w:rPr>
          <w:rFonts w:ascii="Calibri" w:hAnsi="Calibri"/>
          <w:sz w:val="22"/>
        </w:rPr>
        <w:t>FARI Result Card workflow and validation.</w:t>
      </w:r>
    </w:p>
    <w:p>
      <w:pPr>
        <w:spacing w:after="80" w:line="300" w:lineRule="auto"/>
        <w:numPr>
          <w:ilvl w:val="0"/>
          <w:numId w:val="22"/>
        </w:numPr>
      </w:pPr>
      <w:r>
        <w:rPr>
          <w:rFonts w:ascii="Calibri" w:hAnsi="Calibri"/>
          <w:sz w:val="22"/>
        </w:rPr>
        <w:t>Consolidated conclusion matrix.</w:t>
      </w:r>
    </w:p>
    <w:p>
      <w:pPr>
        <w:spacing w:after="80" w:line="300" w:lineRule="auto"/>
        <w:numPr>
          <w:ilvl w:val="0"/>
          <w:numId w:val="22"/>
        </w:numPr>
      </w:pPr>
      <w:r>
        <w:rPr>
          <w:rFonts w:ascii="Calibri" w:hAnsi="Calibri"/>
          <w:sz w:val="22"/>
        </w:rPr>
        <w:t>Investigation and consolidated-report generation.</w:t>
      </w:r>
    </w:p>
    <w:p>
      <w:pPr>
        <w:spacing w:after="80" w:line="300" w:lineRule="auto"/>
        <w:numPr>
          <w:ilvl w:val="0"/>
          <w:numId w:val="22"/>
        </w:numPr>
      </w:pPr>
      <w:r>
        <w:rPr>
          <w:rFonts w:ascii="Calibri" w:hAnsi="Calibri"/>
          <w:sz w:val="22"/>
        </w:rPr>
        <w:t>JSON import/export and revision history.</w:t>
      </w:r>
    </w:p>
    <w:p>
      <w:r>
        <w:rPr>
          <w:rFonts w:ascii="Calibri" w:hAnsi="Calibri"/>
          <w:sz w:val="22"/>
        </w:rPr>
        <w:t>Automated vulnerability scoring, automated SPARTA assignment, and external auditor portals are not required for the first version.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FARI Framework for Aerospace Research and Investigation</dc:title>
  <dc:subject>Methodology, SPARTA integration, examples, process validation, and web requirements</dc:subject>
  <dc:creator>FARI Project</dc:creator>
  <cp:keywords>FARI, space cybersecurity, SPARTA, assurance, qualitative conclusion</cp:keywords>
  <dc:description>generated by python-docx</dc:description>
  <cp:lastModifiedBy/>
  <cp:revision>1</cp:revision>
  <dcterms:created xsi:type="dcterms:W3CDTF">2013-12-23T23:15:00Z</dcterms:created>
  <dcterms:modified xsi:type="dcterms:W3CDTF">2013-12-23T23:15:00Z</dcterms:modified>
  <cp:category/>
</cp:coreProperties>
</file>