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Manual Fill Template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FARI Manual Template v1.2.0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Report-author worksheet aligned with the finalized workflow and field names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v1.2.0  |  2026-06-26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rPr>
          <w:rFonts w:ascii="Calibri" w:hAnsi="Calibri"/>
          <w:sz w:val="22"/>
        </w:rPr>
        <w:t>Use this template when FARI is filled manually outside the web application. The sections and field names match the current workflow in the application.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sz w:val="22"/>
        </w:rPr>
        <w:t xml:space="preserve">Generated with: </w:t>
      </w:r>
      <w:r>
        <w:rPr>
          <w:rFonts w:ascii="Courier New" w:hAnsi="Courier New"/>
          <w:color w:val="1F4D78"/>
          <w:sz w:val="20"/>
        </w:rPr>
        <w:t>FARI v1.2.0</w:t>
      </w:r>
    </w:p>
    <w:p>
      <w:pPr>
        <w:pStyle w:val="ListBullet"/>
      </w:pPr>
      <w:r>
        <w:rPr>
          <w:rFonts w:ascii="Calibri" w:hAnsi="Calibri"/>
          <w:sz w:val="22"/>
        </w:rPr>
        <w:t xml:space="preserve">Assessment ID: </w:t>
      </w:r>
      <w:r>
        <w:rPr>
          <w:rFonts w:ascii="Courier New" w:hAnsi="Courier New"/>
          <w:color w:val="1F4D78"/>
          <w:sz w:val="20"/>
        </w:rPr>
        <w:t>[ASM-YYYY-NNNN]</w:t>
      </w:r>
    </w:p>
    <w:p>
      <w:pPr>
        <w:pStyle w:val="ListBullet"/>
      </w:pPr>
      <w:r>
        <w:rPr>
          <w:rFonts w:ascii="Calibri" w:hAnsi="Calibri"/>
          <w:sz w:val="22"/>
        </w:rPr>
        <w:t xml:space="preserve">Investigation ID: </w:t>
      </w:r>
      <w:r>
        <w:rPr>
          <w:rFonts w:ascii="Courier New" w:hAnsi="Courier New"/>
          <w:color w:val="1F4D78"/>
          <w:sz w:val="20"/>
        </w:rPr>
        <w:t>[INV-YYYY-NNNN or local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Claim ID: </w:t>
      </w:r>
      <w:r>
        <w:rPr>
          <w:rFonts w:ascii="Courier New" w:hAnsi="Courier New"/>
          <w:color w:val="1F4D78"/>
          <w:sz w:val="20"/>
        </w:rPr>
        <w:t>[CLM-YYYY-NNNN or local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Revision label: </w:t>
      </w:r>
      <w:r>
        <w:rPr>
          <w:rFonts w:ascii="Courier New" w:hAnsi="Courier New"/>
          <w:color w:val="1F4D78"/>
          <w:sz w:val="20"/>
        </w:rPr>
        <w:t>[v0, v1, v2 ...]</w:t>
      </w:r>
    </w:p>
    <w:p>
      <w:pPr>
        <w:pStyle w:val="ListBullet"/>
      </w:pPr>
      <w:r>
        <w:rPr>
          <w:rFonts w:ascii="Calibri" w:hAnsi="Calibri"/>
          <w:sz w:val="22"/>
        </w:rPr>
        <w:t xml:space="preserve">Report author: </w:t>
      </w:r>
      <w:r>
        <w:rPr>
          <w:rFonts w:ascii="Courier New" w:hAnsi="Courier New"/>
          <w:color w:val="1F4D78"/>
          <w:sz w:val="20"/>
        </w:rPr>
        <w:t>Fari-Agent</w:t>
      </w:r>
    </w:p>
    <w:p>
      <w:pPr>
        <w:pStyle w:val="ListBullet"/>
      </w:pPr>
      <w:r>
        <w:rPr>
          <w:rFonts w:ascii="Calibri" w:hAnsi="Calibri"/>
          <w:sz w:val="22"/>
        </w:rPr>
        <w:t xml:space="preserve">Technical reporter: </w:t>
      </w:r>
      <w:r>
        <w:rPr>
          <w:rFonts w:ascii="Courier New" w:hAnsi="Courier New"/>
          <w:color w:val="1F4D78"/>
          <w:sz w:val="20"/>
        </w:rPr>
        <w:t>[name or team]</w:t>
      </w:r>
    </w:p>
    <w:p>
      <w:pPr>
        <w:pStyle w:val="ListBullet"/>
      </w:pPr>
      <w:r>
        <w:rPr>
          <w:rFonts w:ascii="Calibri" w:hAnsi="Calibri"/>
          <w:sz w:val="22"/>
        </w:rPr>
        <w:t xml:space="preserve">Report state: </w:t>
      </w:r>
      <w:r>
        <w:rPr>
          <w:rFonts w:ascii="Courier New" w:hAnsi="Courier New"/>
          <w:color w:val="1F4D78"/>
          <w:sz w:val="20"/>
        </w:rPr>
        <w:t>[Draft | Final]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Frame</w:t>
      </w:r>
    </w:p>
    <w:p>
      <w:pPr>
        <w:pStyle w:val="ListBullet"/>
      </w:pPr>
      <w:r>
        <w:rPr>
          <w:rFonts w:ascii="Calibri" w:hAnsi="Calibri"/>
          <w:sz w:val="22"/>
        </w:rPr>
        <w:t xml:space="preserve">Client name: </w:t>
      </w:r>
      <w:r>
        <w:rPr>
          <w:rFonts w:ascii="Courier New" w:hAnsi="Courier New"/>
          <w:color w:val="1F4D78"/>
          <w:sz w:val="20"/>
        </w:rPr>
        <w:t>[client]</w:t>
      </w:r>
    </w:p>
    <w:p>
      <w:pPr>
        <w:pStyle w:val="ListBullet"/>
      </w:pPr>
      <w:r>
        <w:rPr>
          <w:rFonts w:ascii="Calibri" w:hAnsi="Calibri"/>
          <w:sz w:val="22"/>
        </w:rPr>
        <w:t xml:space="preserve">Assessment title: </w:t>
      </w:r>
      <w:r>
        <w:rPr>
          <w:rFonts w:ascii="Courier New" w:hAnsi="Courier New"/>
          <w:color w:val="1F4D78"/>
          <w:sz w:val="20"/>
        </w:rPr>
        <w:t>[assessment title]</w:t>
      </w:r>
    </w:p>
    <w:p>
      <w:pPr>
        <w:pStyle w:val="ListBullet"/>
      </w:pPr>
      <w:r>
        <w:rPr>
          <w:rFonts w:ascii="Calibri" w:hAnsi="Calibri"/>
          <w:sz w:val="22"/>
        </w:rPr>
        <w:t xml:space="preserve">Mission context: </w:t>
      </w:r>
      <w:r>
        <w:rPr>
          <w:rFonts w:ascii="Courier New" w:hAnsi="Courier New"/>
          <w:color w:val="1F4D78"/>
          <w:sz w:val="20"/>
        </w:rPr>
        <w:t>[short mission or operational context]</w:t>
      </w:r>
    </w:p>
    <w:p>
      <w:pPr>
        <w:pStyle w:val="ListBullet"/>
      </w:pPr>
      <w:r>
        <w:rPr>
          <w:rFonts w:ascii="Calibri" w:hAnsi="Calibri"/>
          <w:sz w:val="22"/>
        </w:rPr>
        <w:t xml:space="preserve">Scope: </w:t>
      </w:r>
      <w:r>
        <w:rPr>
          <w:rFonts w:ascii="Courier New" w:hAnsi="Courier New"/>
          <w:color w:val="1F4D78"/>
          <w:sz w:val="20"/>
        </w:rPr>
        <w:t>[exact assessment boundary]</w:t>
      </w:r>
    </w:p>
    <w:p>
      <w:pPr>
        <w:pStyle w:val="ListBullet"/>
      </w:pPr>
      <w:r>
        <w:rPr>
          <w:rFonts w:ascii="Calibri" w:hAnsi="Calibri"/>
          <w:sz w:val="22"/>
        </w:rPr>
        <w:t xml:space="preserve">Authorization: </w:t>
      </w:r>
      <w:r>
        <w:rPr>
          <w:rFonts w:ascii="Courier New" w:hAnsi="Courier New"/>
          <w:color w:val="1F4D78"/>
          <w:sz w:val="20"/>
        </w:rPr>
        <w:t>[authorization or engagement reference]</w:t>
      </w:r>
    </w:p>
    <w:p>
      <w:pPr>
        <w:pStyle w:val="ListBullet"/>
      </w:pPr>
      <w:r>
        <w:rPr>
          <w:rFonts w:ascii="Calibri" w:hAnsi="Calibri"/>
          <w:sz w:val="22"/>
        </w:rPr>
        <w:t xml:space="preserve">Exclusions: </w:t>
      </w:r>
      <w:r>
        <w:rPr>
          <w:rFonts w:ascii="Courier New" w:hAnsi="Courier New"/>
          <w:color w:val="1F4D78"/>
          <w:sz w:val="20"/>
        </w:rPr>
        <w:t>[what is explicitly out of scope]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Asset</w:t>
      </w:r>
    </w:p>
    <w:p>
      <w:pPr>
        <w:pStyle w:val="ListBullet"/>
      </w:pPr>
      <w:r>
        <w:rPr>
          <w:rFonts w:ascii="Calibri" w:hAnsi="Calibri"/>
          <w:sz w:val="22"/>
        </w:rPr>
        <w:t xml:space="preserve">Asset ID: </w:t>
      </w:r>
      <w:r>
        <w:rPr>
          <w:rFonts w:ascii="Courier New" w:hAnsi="Courier New"/>
          <w:color w:val="1F4D78"/>
          <w:sz w:val="20"/>
        </w:rPr>
        <w:t>[AST-...]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Asset name: </w:t>
      </w:r>
      <w:r>
        <w:rPr>
          <w:rFonts w:ascii="Courier New" w:hAnsi="Courier New"/>
          <w:color w:val="1F4D78"/>
          <w:sz w:val="20"/>
        </w:rPr>
        <w:t>[name]</w:t>
      </w:r>
    </w:p>
    <w:p>
      <w:pPr>
        <w:pStyle w:val="ListBullet"/>
      </w:pPr>
      <w:r>
        <w:rPr>
          <w:rFonts w:ascii="Calibri" w:hAnsi="Calibri"/>
          <w:sz w:val="22"/>
        </w:rPr>
        <w:t xml:space="preserve">Segment: </w:t>
      </w:r>
      <w:r>
        <w:rPr>
          <w:rFonts w:ascii="Courier New" w:hAnsi="Courier New"/>
          <w:color w:val="1F4D78"/>
          <w:sz w:val="20"/>
        </w:rPr>
        <w:t>[space | ground | user | link | supply_chain | cloud | other]</w:t>
      </w:r>
    </w:p>
    <w:p>
      <w:pPr>
        <w:pStyle w:val="ListBullet"/>
      </w:pPr>
      <w:r>
        <w:rPr>
          <w:rFonts w:ascii="Calibri" w:hAnsi="Calibri"/>
          <w:sz w:val="22"/>
        </w:rPr>
        <w:t xml:space="preserve">Access basis: </w:t>
      </w:r>
      <w:r>
        <w:rPr>
          <w:rFonts w:ascii="Courier New" w:hAnsi="Courier New"/>
          <w:color w:val="1F4D78"/>
          <w:sz w:val="20"/>
        </w:rPr>
        <w:t>[public | private | other]</w:t>
      </w:r>
    </w:p>
    <w:p>
      <w:pPr>
        <w:pStyle w:val="ListBullet"/>
      </w:pPr>
      <w:r>
        <w:rPr>
          <w:rFonts w:ascii="Calibri" w:hAnsi="Calibri"/>
          <w:sz w:val="22"/>
        </w:rPr>
        <w:t xml:space="preserve">Coverage: </w:t>
      </w:r>
      <w:r>
        <w:rPr>
          <w:rFonts w:ascii="Courier New" w:hAnsi="Courier New"/>
          <w:color w:val="1F4D78"/>
          <w:sz w:val="20"/>
        </w:rPr>
        <w:t>[tested | reviewed | inferred | not_assessed | out_of_scope]</w:t>
      </w:r>
    </w:p>
    <w:p>
      <w:pPr>
        <w:pStyle w:val="ListBullet"/>
      </w:pPr>
      <w:r>
        <w:rPr>
          <w:rFonts w:ascii="Calibri" w:hAnsi="Calibri"/>
          <w:sz w:val="22"/>
        </w:rPr>
        <w:t xml:space="preserve">Description: </w:t>
      </w:r>
      <w:r>
        <w:rPr>
          <w:rFonts w:ascii="Courier New" w:hAnsi="Courier New"/>
          <w:color w:val="1F4D78"/>
          <w:sz w:val="20"/>
        </w:rPr>
        <w:t>[what this asset is]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Claim</w:t>
      </w:r>
    </w:p>
    <w:p>
      <w:pPr>
        <w:pStyle w:val="ListBullet"/>
      </w:pPr>
      <w:r>
        <w:rPr>
          <w:rFonts w:ascii="Calibri" w:hAnsi="Calibri"/>
          <w:sz w:val="22"/>
        </w:rPr>
        <w:t xml:space="preserve">Claim description: </w:t>
      </w:r>
      <w:r>
        <w:rPr>
          <w:rFonts w:ascii="Courier New" w:hAnsi="Courier New"/>
          <w:color w:val="1F4D78"/>
          <w:sz w:val="20"/>
        </w:rPr>
        <w:t>[expected secure behavior being evaluated]</w:t>
      </w:r>
    </w:p>
    <w:p>
      <w:pPr>
        <w:pStyle w:val="ListBullet"/>
      </w:pPr>
      <w:r>
        <w:rPr>
          <w:rFonts w:ascii="Calibri" w:hAnsi="Calibri"/>
          <w:sz w:val="22"/>
        </w:rPr>
        <w:t xml:space="preserve">Gating claim: </w:t>
      </w:r>
      <w:r>
        <w:rPr>
          <w:rFonts w:ascii="Courier New" w:hAnsi="Courier New"/>
          <w:color w:val="1F4D78"/>
          <w:sz w:val="20"/>
        </w:rPr>
        <w:t>[yes | no]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Acquire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Supplied material and evidence</w:t>
      </w:r>
    </w:p>
    <w:p>
      <w:pPr>
        <w:pStyle w:val="ListBullet"/>
      </w:pPr>
      <w:r>
        <w:rPr>
          <w:rFonts w:ascii="Calibri" w:hAnsi="Calibri"/>
          <w:sz w:val="22"/>
        </w:rPr>
        <w:t xml:space="preserve">Evidence reference 1: </w:t>
      </w:r>
      <w:r>
        <w:rPr>
          <w:rFonts w:ascii="Courier New" w:hAnsi="Courier New"/>
          <w:color w:val="1F4D78"/>
          <w:sz w:val="20"/>
        </w:rPr>
        <w:t>[file, note, screenshot, capture, script, report]</w:t>
      </w:r>
    </w:p>
    <w:p>
      <w:pPr>
        <w:pStyle w:val="ListBullet"/>
      </w:pPr>
      <w:r>
        <w:rPr>
          <w:rFonts w:ascii="Calibri" w:hAnsi="Calibri"/>
          <w:sz w:val="22"/>
        </w:rPr>
        <w:t xml:space="preserve">Evidence reference 2: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ListBullet"/>
      </w:pPr>
      <w:r>
        <w:rPr>
          <w:rFonts w:ascii="Calibri" w:hAnsi="Calibri"/>
          <w:sz w:val="22"/>
        </w:rPr>
        <w:t xml:space="preserve">Evidence reference 3: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Normalized material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Facts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[fact directly supported by evidence]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[fact directly supported by evidence]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Assertions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[statement supplied by the technical reporter]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Inferences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[report-author interpretation]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Assumptions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[assumption used for current analysis]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Contradictions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[material conflict affecting confidence or conclusion]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Gaps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[missing information that blocks a stronger conclusion]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Sufficiency</w:t>
      </w:r>
    </w:p>
    <w:p>
      <w:pPr>
        <w:pStyle w:val="ListBullet"/>
      </w:pPr>
      <w:r>
        <w:rPr>
          <w:rFonts w:ascii="Calibri" w:hAnsi="Calibri"/>
          <w:sz w:val="22"/>
        </w:rPr>
        <w:t xml:space="preserve">Technical sufficiency: </w:t>
      </w:r>
      <w:r>
        <w:rPr>
          <w:rFonts w:ascii="Courier New" w:hAnsi="Courier New"/>
          <w:color w:val="1F4D78"/>
          <w:sz w:val="20"/>
        </w:rPr>
        <w:t>[sufficient | partial | insufficient]</w:t>
      </w:r>
    </w:p>
    <w:p>
      <w:pPr>
        <w:pStyle w:val="ListBullet"/>
      </w:pPr>
      <w:r>
        <w:rPr>
          <w:rFonts w:ascii="Calibri" w:hAnsi="Calibri"/>
          <w:sz w:val="22"/>
        </w:rPr>
        <w:t xml:space="preserve">Reachability sufficiency: </w:t>
      </w:r>
      <w:r>
        <w:rPr>
          <w:rFonts w:ascii="Courier New" w:hAnsi="Courier New"/>
          <w:color w:val="1F4D78"/>
          <w:sz w:val="20"/>
        </w:rPr>
        <w:t>[sufficient | partial | insufficient]</w:t>
      </w:r>
    </w:p>
    <w:p>
      <w:pPr>
        <w:pStyle w:val="ListBullet"/>
      </w:pPr>
      <w:r>
        <w:rPr>
          <w:rFonts w:ascii="Calibri" w:hAnsi="Calibri"/>
          <w:sz w:val="22"/>
        </w:rPr>
        <w:t xml:space="preserve">Mission sufficiency: </w:t>
      </w:r>
      <w:r>
        <w:rPr>
          <w:rFonts w:ascii="Courier New" w:hAnsi="Courier New"/>
          <w:color w:val="1F4D78"/>
          <w:sz w:val="20"/>
        </w:rPr>
        <w:t>[sufficient | partial | insufficient]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Optional SBOM inventory</w:t>
      </w:r>
    </w:p>
    <w:p>
      <w:pPr>
        <w:pStyle w:val="ListBullet"/>
      </w:pPr>
      <w:r>
        <w:rPr>
          <w:rFonts w:ascii="Calibri" w:hAnsi="Calibri"/>
          <w:sz w:val="22"/>
        </w:rPr>
        <w:t xml:space="preserve">SBOM document ID: </w:t>
      </w:r>
      <w:r>
        <w:rPr>
          <w:rFonts w:ascii="Courier New" w:hAnsi="Courier New"/>
          <w:color w:val="1F4D78"/>
          <w:sz w:val="20"/>
        </w:rPr>
        <w:t>[SBM-...]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Related asset: </w:t>
      </w:r>
      <w:r>
        <w:rPr>
          <w:rFonts w:ascii="Courier New" w:hAnsi="Courier New"/>
          <w:color w:val="1F4D78"/>
          <w:sz w:val="20"/>
        </w:rPr>
        <w:t>[AST-...]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Format: </w:t>
      </w:r>
      <w:r>
        <w:rPr>
          <w:rFonts w:ascii="Courier New" w:hAnsi="Courier New"/>
          <w:color w:val="1F4D78"/>
          <w:sz w:val="20"/>
        </w:rPr>
        <w:t>[cyclonedx | spdx | package-lock | text-list]</w:t>
      </w:r>
    </w:p>
    <w:p>
      <w:pPr>
        <w:pStyle w:val="ListBullet"/>
      </w:pPr>
      <w:r>
        <w:rPr>
          <w:rFonts w:ascii="Calibri" w:hAnsi="Calibri"/>
          <w:sz w:val="22"/>
        </w:rPr>
        <w:t xml:space="preserve">Component ID: </w:t>
      </w:r>
      <w:r>
        <w:rPr>
          <w:rFonts w:ascii="Courier New" w:hAnsi="Courier New"/>
          <w:color w:val="1F4D78"/>
          <w:sz w:val="20"/>
        </w:rPr>
        <w:t>[CMP-...]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Component name: </w:t>
      </w:r>
      <w:r>
        <w:rPr>
          <w:rFonts w:ascii="Courier New" w:hAnsi="Courier New"/>
          <w:color w:val="1F4D78"/>
          <w:sz w:val="20"/>
        </w:rPr>
        <w:t>[package or library]</w:t>
      </w:r>
    </w:p>
    <w:p>
      <w:pPr>
        <w:pStyle w:val="ListBullet"/>
      </w:pPr>
      <w:r>
        <w:rPr>
          <w:rFonts w:ascii="Calibri" w:hAnsi="Calibri"/>
          <w:sz w:val="22"/>
        </w:rPr>
        <w:t xml:space="preserve">Current version: </w:t>
      </w:r>
      <w:r>
        <w:rPr>
          <w:rFonts w:ascii="Courier New" w:hAnsi="Courier New"/>
          <w:color w:val="1F4D78"/>
          <w:sz w:val="20"/>
        </w:rPr>
        <w:t>[version]</w:t>
      </w:r>
    </w:p>
    <w:p>
      <w:pPr>
        <w:pStyle w:val="ListBullet"/>
      </w:pPr>
      <w:r>
        <w:rPr>
          <w:rFonts w:ascii="Calibri" w:hAnsi="Calibri"/>
          <w:sz w:val="22"/>
        </w:rPr>
        <w:t xml:space="preserve">Inventory status: </w:t>
      </w:r>
      <w:r>
        <w:rPr>
          <w:rFonts w:ascii="Courier New" w:hAnsi="Courier New"/>
          <w:color w:val="1F4D78"/>
          <w:sz w:val="20"/>
        </w:rPr>
        <w:t>[tracked | vulnerable | update_in_progress | fixed | accepted | not_affected]</w:t>
      </w:r>
    </w:p>
    <w:p>
      <w:pPr>
        <w:pStyle w:val="ListBullet"/>
      </w:pPr>
      <w:r>
        <w:rPr>
          <w:rFonts w:ascii="Calibri" w:hAnsi="Calibri"/>
          <w:sz w:val="22"/>
        </w:rPr>
        <w:t xml:space="preserve">Inventory event: </w:t>
      </w:r>
      <w:r>
        <w:rPr>
          <w:rFonts w:ascii="Courier New" w:hAnsi="Courier New"/>
          <w:color w:val="1F4D78"/>
          <w:sz w:val="20"/>
        </w:rPr>
        <w:t>[imported | vulnerability_detected | version_updated | fix_verified | status_changed | note]</w:t>
      </w:r>
    </w:p>
    <w:p>
      <w:pPr>
        <w:pStyle w:val="ListBullet"/>
      </w:pPr>
      <w:r>
        <w:rPr>
          <w:rFonts w:ascii="Calibri" w:hAnsi="Calibri"/>
          <w:sz w:val="22"/>
        </w:rPr>
        <w:t xml:space="preserve">Event summary: </w:t>
      </w:r>
      <w:r>
        <w:rPr>
          <w:rFonts w:ascii="Courier New" w:hAnsi="Courier New"/>
          <w:color w:val="1F4D78"/>
          <w:sz w:val="20"/>
        </w:rPr>
        <w:t>[what changed and why]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Relate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Finding</w:t>
      </w:r>
    </w:p>
    <w:p>
      <w:pPr>
        <w:pStyle w:val="ListBullet"/>
      </w:pPr>
      <w:r>
        <w:rPr>
          <w:rFonts w:ascii="Calibri" w:hAnsi="Calibri"/>
          <w:sz w:val="22"/>
        </w:rPr>
        <w:t xml:space="preserve">Finding ID: </w:t>
      </w:r>
      <w:r>
        <w:rPr>
          <w:rFonts w:ascii="Courier New" w:hAnsi="Courier New"/>
          <w:color w:val="1F4D78"/>
          <w:sz w:val="20"/>
        </w:rPr>
        <w:t>[FND-...]</w:t>
      </w:r>
    </w:p>
    <w:p>
      <w:pPr>
        <w:pStyle w:val="ListBullet"/>
      </w:pPr>
      <w:r>
        <w:rPr>
          <w:rFonts w:ascii="Calibri" w:hAnsi="Calibri"/>
          <w:sz w:val="22"/>
        </w:rPr>
        <w:t xml:space="preserve">Title: </w:t>
      </w:r>
      <w:r>
        <w:rPr>
          <w:rFonts w:ascii="Courier New" w:hAnsi="Courier New"/>
          <w:color w:val="1F4D78"/>
          <w:sz w:val="20"/>
        </w:rPr>
        <w:t>[concise reportable condition]</w:t>
      </w:r>
    </w:p>
    <w:p>
      <w:pPr>
        <w:pStyle w:val="ListBullet"/>
      </w:pPr>
      <w:r>
        <w:rPr>
          <w:rFonts w:ascii="Calibri" w:hAnsi="Calibri"/>
          <w:sz w:val="22"/>
        </w:rPr>
        <w:t xml:space="preserve">State: </w:t>
      </w:r>
      <w:r>
        <w:rPr>
          <w:rFonts w:ascii="Courier New" w:hAnsi="Courier New"/>
          <w:color w:val="1F4D78"/>
          <w:sz w:val="20"/>
        </w:rPr>
        <w:t>[observation | candidate | confirmed | remediated | verified_closed]</w:t>
      </w:r>
    </w:p>
    <w:p>
      <w:pPr>
        <w:pStyle w:val="ListBullet"/>
      </w:pPr>
      <w:r>
        <w:rPr>
          <w:rFonts w:ascii="Calibri" w:hAnsi="Calibri"/>
          <w:sz w:val="22"/>
        </w:rPr>
        <w:t xml:space="preserve">Condition text: </w:t>
      </w:r>
      <w:r>
        <w:rPr>
          <w:rFonts w:ascii="Courier New" w:hAnsi="Courier New"/>
          <w:color w:val="1F4D78"/>
          <w:sz w:val="20"/>
        </w:rPr>
        <w:t>[what is wrong or notable]</w:t>
      </w:r>
    </w:p>
    <w:p>
      <w:pPr>
        <w:pStyle w:val="ListBullet"/>
      </w:pPr>
      <w:r>
        <w:rPr>
          <w:rFonts w:ascii="Calibri" w:hAnsi="Calibri"/>
          <w:sz w:val="22"/>
        </w:rPr>
        <w:t xml:space="preserve">Observed effect: </w:t>
      </w:r>
      <w:r>
        <w:rPr>
          <w:rFonts w:ascii="Courier New" w:hAnsi="Courier New"/>
          <w:color w:val="1F4D78"/>
          <w:sz w:val="20"/>
        </w:rPr>
        <w:t>[what was directly observed]</w:t>
      </w:r>
    </w:p>
    <w:p>
      <w:pPr>
        <w:pStyle w:val="ListBullet"/>
      </w:pPr>
      <w:r>
        <w:rPr>
          <w:rFonts w:ascii="Calibri" w:hAnsi="Calibri"/>
          <w:sz w:val="22"/>
        </w:rPr>
        <w:t xml:space="preserve">Credible impact: </w:t>
      </w:r>
      <w:r>
        <w:rPr>
          <w:rFonts w:ascii="Courier New" w:hAnsi="Courier New"/>
          <w:color w:val="1F4D78"/>
          <w:sz w:val="20"/>
        </w:rPr>
        <w:t>[why this matters]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SPARTA</w:t>
      </w:r>
    </w:p>
    <w:p>
      <w:pPr>
        <w:pStyle w:val="ListBullet"/>
      </w:pPr>
      <w:r>
        <w:rPr>
          <w:rFonts w:ascii="Calibri" w:hAnsi="Calibri"/>
          <w:sz w:val="22"/>
        </w:rPr>
        <w:t xml:space="preserve">SPARTA ID: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ListBullet"/>
      </w:pPr>
      <w:r>
        <w:rPr>
          <w:rFonts w:ascii="Calibri" w:hAnsi="Calibri"/>
          <w:sz w:val="22"/>
        </w:rPr>
        <w:t xml:space="preserve">SPARTA name: </w:t>
      </w:r>
      <w:r>
        <w:rPr>
          <w:rFonts w:ascii="Courier New" w:hAnsi="Courier New"/>
          <w:color w:val="1F4D78"/>
          <w:sz w:val="20"/>
        </w:rPr>
        <w:t>[optional]</w:t>
      </w:r>
    </w:p>
    <w:p>
      <w:pPr>
        <w:pStyle w:val="ListBullet"/>
      </w:pPr>
      <w:r>
        <w:rPr>
          <w:rFonts w:ascii="Calibri" w:hAnsi="Calibri"/>
          <w:sz w:val="22"/>
        </w:rPr>
        <w:t xml:space="preserve">Mapping state: </w:t>
      </w:r>
      <w:r>
        <w:rPr>
          <w:rFonts w:ascii="Courier New" w:hAnsi="Courier New"/>
          <w:color w:val="1F4D78"/>
          <w:sz w:val="20"/>
        </w:rPr>
        <w:t>[confirmed | candidate | not_applicable]</w:t>
      </w:r>
    </w:p>
    <w:p>
      <w:pPr>
        <w:pStyle w:val="ListBullet"/>
      </w:pPr>
      <w:r>
        <w:rPr>
          <w:rFonts w:ascii="Calibri" w:hAnsi="Calibri"/>
          <w:sz w:val="22"/>
        </w:rPr>
        <w:t xml:space="preserve">Mapping rationale: </w:t>
      </w:r>
      <w:r>
        <w:rPr>
          <w:rFonts w:ascii="Courier New" w:hAnsi="Courier New"/>
          <w:color w:val="1F4D78"/>
          <w:sz w:val="20"/>
        </w:rPr>
        <w:t>[why the mapping is appropriate]</w:t>
      </w:r>
    </w:p>
    <w:p>
      <w:pPr>
        <w:pStyle w:val="ListBullet"/>
      </w:pPr>
      <w:r>
        <w:rPr>
          <w:rFonts w:ascii="Calibri" w:hAnsi="Calibri"/>
          <w:sz w:val="22"/>
        </w:rPr>
        <w:t xml:space="preserve">Include SPARTA countermeasures in report: </w:t>
      </w:r>
      <w:r>
        <w:rPr>
          <w:rFonts w:ascii="Courier New" w:hAnsi="Courier New"/>
          <w:color w:val="1F4D78"/>
          <w:sz w:val="20"/>
        </w:rPr>
        <w:t>[yes | no]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4. Inform</w:t>
      </w:r>
    </w:p>
    <w:p>
      <w:pPr>
        <w:pStyle w:val="ListBullet"/>
      </w:pPr>
      <w:r>
        <w:rPr>
          <w:rFonts w:ascii="Calibri" w:hAnsi="Calibri"/>
          <w:sz w:val="22"/>
        </w:rPr>
        <w:t xml:space="preserve">Conclusion: </w:t>
      </w:r>
      <w:r>
        <w:rPr>
          <w:rFonts w:ascii="Courier New" w:hAnsi="Courier New"/>
          <w:color w:val="1F4D78"/>
          <w:sz w:val="20"/>
        </w:rPr>
        <w:t>[meets | does_not_meet | inconclusive | not_assessed]</w:t>
      </w:r>
    </w:p>
    <w:p>
      <w:pPr>
        <w:pStyle w:val="ListBullet"/>
      </w:pPr>
      <w:r>
        <w:rPr>
          <w:rFonts w:ascii="Calibri" w:hAnsi="Calibri"/>
          <w:sz w:val="22"/>
        </w:rPr>
        <w:t xml:space="preserve">Scenario disposition: </w:t>
      </w:r>
      <w:r>
        <w:rPr>
          <w:rFonts w:ascii="Courier New" w:hAnsi="Courier New"/>
          <w:color w:val="1F4D78"/>
          <w:sz w:val="20"/>
        </w:rPr>
        <w:t>[demonstrated | plausible | not_demonstrated | not_evaluated]</w:t>
      </w:r>
    </w:p>
    <w:p>
      <w:pPr>
        <w:pStyle w:val="ListBullet"/>
      </w:pPr>
      <w:r>
        <w:rPr>
          <w:rFonts w:ascii="Calibri" w:hAnsi="Calibri"/>
          <w:sz w:val="22"/>
        </w:rPr>
        <w:t xml:space="preserve">Confidence: </w:t>
      </w:r>
      <w:r>
        <w:rPr>
          <w:rFonts w:ascii="Courier New" w:hAnsi="Courier New"/>
          <w:color w:val="1F4D78"/>
          <w:sz w:val="20"/>
        </w:rPr>
        <w:t>[high | medium | low]</w:t>
      </w:r>
    </w:p>
    <w:p>
      <w:pPr>
        <w:pStyle w:val="ListBullet"/>
      </w:pPr>
      <w:r>
        <w:rPr>
          <w:rFonts w:ascii="Calibri" w:hAnsi="Calibri"/>
          <w:sz w:val="22"/>
        </w:rPr>
        <w:t xml:space="preserve">Required action: </w:t>
      </w:r>
      <w:r>
        <w:rPr>
          <w:rFonts w:ascii="Courier New" w:hAnsi="Courier New"/>
          <w:color w:val="1F4D78"/>
          <w:sz w:val="20"/>
        </w:rPr>
        <w:t>[accept | remediate | extend_investigation | retest | no_action]</w:t>
      </w:r>
    </w:p>
    <w:p>
      <w:pPr>
        <w:pStyle w:val="ListBullet"/>
      </w:pPr>
      <w:r>
        <w:rPr>
          <w:rFonts w:ascii="Calibri" w:hAnsi="Calibri"/>
          <w:sz w:val="22"/>
        </w:rPr>
        <w:t xml:space="preserve">Priority: </w:t>
      </w:r>
      <w:r>
        <w:rPr>
          <w:rFonts w:ascii="Courier New" w:hAnsi="Courier New"/>
          <w:color w:val="1F4D78"/>
          <w:sz w:val="20"/>
        </w:rPr>
        <w:t>[immediate | planned | routine | none]</w:t>
      </w:r>
    </w:p>
    <w:p>
      <w:pPr>
        <w:pStyle w:val="ListBullet"/>
      </w:pPr>
      <w:r>
        <w:rPr>
          <w:rFonts w:ascii="Calibri" w:hAnsi="Calibri"/>
          <w:sz w:val="22"/>
        </w:rPr>
        <w:t xml:space="preserve">Scope boundary: </w:t>
      </w:r>
      <w:r>
        <w:rPr>
          <w:rFonts w:ascii="Courier New" w:hAnsi="Courier New"/>
          <w:color w:val="1F4D78"/>
          <w:sz w:val="20"/>
        </w:rPr>
        <w:t>[exact limit of the conclusion]</w:t>
      </w:r>
    </w:p>
    <w:p>
      <w:pPr>
        <w:pStyle w:val="ListBullet"/>
      </w:pPr>
      <w:r>
        <w:rPr>
          <w:rFonts w:ascii="Calibri" w:hAnsi="Calibri"/>
          <w:sz w:val="22"/>
        </w:rPr>
        <w:t xml:space="preserve">Rationale: </w:t>
      </w:r>
      <w:r>
        <w:rPr>
          <w:rFonts w:ascii="Courier New" w:hAnsi="Courier New"/>
          <w:color w:val="1F4D78"/>
          <w:sz w:val="20"/>
        </w:rPr>
        <w:t>[short evidence-based reason for the conclusion]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Recommendations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[recommended next action]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[recommended next action]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Acceptance criteria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[what evidence would allow closure or validation]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[what evidence would allow closure or validation]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 Closure check</w:t>
      </w:r>
    </w:p>
    <w:p>
      <w:pPr>
        <w:pStyle w:val="ListBullet"/>
      </w:pPr>
      <w:r>
        <w:rPr>
          <w:rFonts w:ascii="Calibri" w:hAnsi="Calibri"/>
          <w:sz w:val="22"/>
        </w:rPr>
        <w:t>[ ] Frame is complete and specific.</w:t>
      </w:r>
    </w:p>
    <w:p>
      <w:pPr>
        <w:pStyle w:val="ListBullet"/>
      </w:pPr>
      <w:r>
        <w:rPr>
          <w:rFonts w:ascii="Calibri" w:hAnsi="Calibri"/>
          <w:sz w:val="22"/>
        </w:rPr>
        <w:t>[ ] Evidence or normalized supplied material is present.</w:t>
      </w:r>
    </w:p>
    <w:p>
      <w:pPr>
        <w:pStyle w:val="ListBullet"/>
      </w:pPr>
      <w:r>
        <w:rPr>
          <w:rFonts w:ascii="Calibri" w:hAnsi="Calibri"/>
          <w:sz w:val="22"/>
        </w:rPr>
        <w:t>[ ] Facts, assertions, and inferences are separated.</w:t>
      </w:r>
    </w:p>
    <w:p>
      <w:pPr>
        <w:pStyle w:val="ListBullet"/>
      </w:pPr>
      <w:r>
        <w:rPr>
          <w:rFonts w:ascii="Calibri" w:hAnsi="Calibri"/>
          <w:sz w:val="22"/>
        </w:rPr>
        <w:t>[ ] Scenario disposition is selected.</w:t>
      </w:r>
    </w:p>
    <w:p>
      <w:pPr>
        <w:pStyle w:val="ListBullet"/>
      </w:pPr>
      <w:r>
        <w:rPr>
          <w:rFonts w:ascii="Calibri" w:hAnsi="Calibri"/>
          <w:sz w:val="22"/>
        </w:rPr>
        <w:t>[ ] Conclusion and required action are compatible.</w:t>
      </w:r>
    </w:p>
    <w:p>
      <w:pPr>
        <w:pStyle w:val="ListBullet"/>
      </w:pPr>
      <w:r>
        <w:rPr>
          <w:rFonts w:ascii="Calibri" w:hAnsi="Calibri"/>
          <w:sz w:val="22"/>
        </w:rPr>
        <w:t>[ ] SBOM and inventory state are updated when relevant to the scope.</w:t>
      </w:r>
    </w:p>
    <w:p>
      <w:pPr>
        <w:pStyle w:val="ListBullet"/>
      </w:pPr>
      <w:r>
        <w:rPr>
          <w:rFonts w:ascii="Calibri" w:hAnsi="Calibri"/>
          <w:sz w:val="22"/>
        </w:rPr>
        <w:t>[ ] A revision was captured if the assessment meaning changed materially.</w:t>
      </w:r>
    </w:p>
    <w:p>
      <w:pPr>
        <w:pStyle w:val="ListBullet"/>
      </w:pPr>
      <w:r>
        <w:rPr>
          <w:rFonts w:ascii="Calibri" w:hAnsi="Calibri"/>
          <w:sz w:val="22"/>
        </w:rPr>
        <w:t>[ ] Scope boundary and rationale are written.</w:t>
      </w:r>
    </w:p>
    <w:p>
      <w:pPr>
        <w:pStyle w:val="ListBullet"/>
      </w:pPr>
      <w:r>
        <w:rPr>
          <w:rFonts w:ascii="Calibri" w:hAnsi="Calibri"/>
          <w:sz w:val="22"/>
        </w:rPr>
        <w:t>[ ] Record is understandable without re-explaining the engagement verbally.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6. Simple example</w:t>
      </w:r>
    </w:p>
    <w:p>
      <w:pPr>
        <w:pStyle w:val="ListBullet"/>
      </w:pPr>
      <w:r>
        <w:rPr>
          <w:rFonts w:ascii="Calibri" w:hAnsi="Calibri"/>
          <w:sz w:val="22"/>
        </w:rPr>
        <w:t xml:space="preserve">Client name: </w:t>
      </w:r>
      <w:r>
        <w:rPr>
          <w:rFonts w:ascii="Courier New" w:hAnsi="Courier New"/>
          <w:color w:val="1F4D78"/>
          <w:sz w:val="20"/>
        </w:rPr>
        <w:t>Example Aerospace</w:t>
      </w:r>
    </w:p>
    <w:p>
      <w:pPr>
        <w:pStyle w:val="ListBullet"/>
      </w:pPr>
      <w:r>
        <w:rPr>
          <w:rFonts w:ascii="Calibri" w:hAnsi="Calibri"/>
          <w:sz w:val="22"/>
        </w:rPr>
        <w:t xml:space="preserve">Assessment title: </w:t>
      </w:r>
      <w:r>
        <w:rPr>
          <w:rFonts w:ascii="Courier New" w:hAnsi="Courier New"/>
          <w:color w:val="1F4D78"/>
          <w:sz w:val="20"/>
        </w:rPr>
        <w:t>SpaceCAN Monitor Validation</w:t>
      </w:r>
    </w:p>
    <w:p>
      <w:pPr>
        <w:pStyle w:val="ListBullet"/>
      </w:pPr>
      <w:r>
        <w:rPr>
          <w:rFonts w:ascii="Calibri" w:hAnsi="Calibri"/>
          <w:sz w:val="22"/>
        </w:rPr>
        <w:t xml:space="preserve">Claim description: </w:t>
      </w:r>
      <w:r>
        <w:rPr>
          <w:rFonts w:ascii="Courier New" w:hAnsi="Courier New"/>
          <w:color w:val="1F4D78"/>
          <w:sz w:val="20"/>
        </w:rPr>
        <w:t>The monitor distinguishes forged reply-like frames before presenting trusted state.</w:t>
      </w:r>
    </w:p>
    <w:p>
      <w:pPr>
        <w:pStyle w:val="ListBullet"/>
      </w:pPr>
      <w:r>
        <w:rPr>
          <w:rFonts w:ascii="Calibri" w:hAnsi="Calibri"/>
          <w:sz w:val="22"/>
        </w:rPr>
        <w:t>Facts: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Forged traffic was transmitted.</w:t>
      </w:r>
    </w:p>
    <w:p>
      <w:pPr>
        <w:pStyle w:val="ListBullet"/>
      </w:pPr>
      <w:r>
        <w:rPr>
          <w:rFonts w:ascii="Courier New" w:hAnsi="Courier New"/>
          <w:color w:val="1F4D78"/>
          <w:sz w:val="20"/>
        </w:rPr>
        <w:t>The displayed value changed from 12 to 255.</w:t>
      </w:r>
    </w:p>
    <w:p>
      <w:pPr>
        <w:pStyle w:val="ListBullet"/>
      </w:pPr>
      <w:r>
        <w:rPr>
          <w:rFonts w:ascii="Calibri" w:hAnsi="Calibri"/>
          <w:sz w:val="22"/>
        </w:rPr>
        <w:t xml:space="preserve">Technical sufficiency: </w:t>
      </w:r>
      <w:r>
        <w:rPr>
          <w:rFonts w:ascii="Courier New" w:hAnsi="Courier New"/>
          <w:color w:val="1F4D78"/>
          <w:sz w:val="20"/>
        </w:rPr>
        <w:t>sufficient</w:t>
      </w:r>
    </w:p>
    <w:p>
      <w:pPr>
        <w:pStyle w:val="ListBullet"/>
      </w:pPr>
      <w:r>
        <w:rPr>
          <w:rFonts w:ascii="Calibri" w:hAnsi="Calibri"/>
          <w:sz w:val="22"/>
        </w:rPr>
        <w:t xml:space="preserve">Reachability sufficiency: </w:t>
      </w:r>
      <w:r>
        <w:rPr>
          <w:rFonts w:ascii="Courier New" w:hAnsi="Courier New"/>
          <w:color w:val="1F4D78"/>
          <w:sz w:val="20"/>
        </w:rPr>
        <w:t>partial</w:t>
      </w:r>
    </w:p>
    <w:p>
      <w:pPr>
        <w:pStyle w:val="ListBullet"/>
      </w:pPr>
      <w:r>
        <w:rPr>
          <w:rFonts w:ascii="Calibri" w:hAnsi="Calibri"/>
          <w:sz w:val="22"/>
        </w:rPr>
        <w:t xml:space="preserve">Mission sufficiency: </w:t>
      </w:r>
      <w:r>
        <w:rPr>
          <w:rFonts w:ascii="Courier New" w:hAnsi="Courier New"/>
          <w:color w:val="1F4D78"/>
          <w:sz w:val="20"/>
        </w:rPr>
        <w:t>partial</w:t>
      </w:r>
    </w:p>
    <w:p>
      <w:pPr>
        <w:pStyle w:val="ListBullet"/>
      </w:pPr>
      <w:r>
        <w:rPr>
          <w:rFonts w:ascii="Calibri" w:hAnsi="Calibri"/>
          <w:sz w:val="22"/>
        </w:rPr>
        <w:t xml:space="preserve">Finding title: </w:t>
      </w:r>
      <w:r>
        <w:rPr>
          <w:rFonts w:ascii="Courier New" w:hAnsi="Courier New"/>
          <w:color w:val="1F4D78"/>
          <w:sz w:val="20"/>
        </w:rPr>
        <w:t>Forged reply-like frame influences displayed telemetry</w:t>
      </w:r>
    </w:p>
    <w:p>
      <w:pPr>
        <w:pStyle w:val="ListBullet"/>
      </w:pPr>
      <w:r>
        <w:rPr>
          <w:rFonts w:ascii="Calibri" w:hAnsi="Calibri"/>
          <w:sz w:val="22"/>
        </w:rPr>
        <w:t xml:space="preserve">SPARTA ID: </w:t>
      </w:r>
      <w:r>
        <w:rPr>
          <w:rFonts w:ascii="Courier New" w:hAnsi="Courier New"/>
          <w:color w:val="1F4D78"/>
          <w:sz w:val="20"/>
        </w:rPr>
        <w:t>EX-0014.02</w:t>
      </w:r>
    </w:p>
    <w:p>
      <w:pPr>
        <w:pStyle w:val="ListBullet"/>
      </w:pPr>
      <w:r>
        <w:rPr>
          <w:rFonts w:ascii="Calibri" w:hAnsi="Calibri"/>
          <w:sz w:val="22"/>
        </w:rPr>
        <w:t xml:space="preserve">Conclusion: </w:t>
      </w:r>
      <w:r>
        <w:rPr>
          <w:rFonts w:ascii="Courier New" w:hAnsi="Courier New"/>
          <w:color w:val="1F4D78"/>
          <w:sz w:val="20"/>
        </w:rPr>
        <w:t>does_not_meet</w:t>
      </w:r>
    </w:p>
    <w:p>
      <w:pPr>
        <w:pStyle w:val="ListBullet"/>
      </w:pPr>
      <w:r>
        <w:rPr>
          <w:rFonts w:ascii="Calibri" w:hAnsi="Calibri"/>
          <w:sz w:val="22"/>
        </w:rPr>
        <w:t xml:space="preserve">Scenario disposition: </w:t>
      </w:r>
      <w:r>
        <w:rPr>
          <w:rFonts w:ascii="Courier New" w:hAnsi="Courier New"/>
          <w:color w:val="1F4D78"/>
          <w:sz w:val="20"/>
        </w:rPr>
        <w:t>plausible</w:t>
      </w:r>
    </w:p>
    <w:p>
      <w:pPr>
        <w:pStyle w:val="ListBullet"/>
      </w:pPr>
      <w:r>
        <w:rPr>
          <w:rFonts w:ascii="Calibri" w:hAnsi="Calibri"/>
          <w:sz w:val="22"/>
        </w:rPr>
        <w:t xml:space="preserve">Required action: </w:t>
      </w:r>
      <w:r>
        <w:rPr>
          <w:rFonts w:ascii="Courier New" w:hAnsi="Courier New"/>
          <w:color w:val="1F4D78"/>
          <w:sz w:val="20"/>
        </w:rPr>
        <w:t>remediate</w:t>
      </w:r>
    </w:p>
    <w:p>
      <w:pPr>
        <w:pStyle w:val="ListBullet"/>
      </w:pPr>
      <w:r>
        <w:rPr>
          <w:rFonts w:ascii="Calibri" w:hAnsi="Calibri"/>
          <w:sz w:val="22"/>
        </w:rPr>
        <w:t xml:space="preserve">Scope boundary: </w:t>
      </w:r>
      <w:r>
        <w:rPr>
          <w:rFonts w:ascii="Courier New" w:hAnsi="Courier New"/>
          <w:color w:val="1F4D78"/>
          <w:sz w:val="20"/>
        </w:rPr>
        <w:t>Lab monitor path only; physical and on-orbit effects excluded.</w:t>
      </w:r>
    </w:p>
    <w:p>
      <w:pPr>
        <w:pStyle w:val="ListBullet"/>
      </w:pPr>
      <w:r>
        <w:rPr>
          <w:rFonts w:ascii="Calibri" w:hAnsi="Calibri"/>
          <w:sz w:val="22"/>
        </w:rPr>
        <w:t xml:space="preserve">Rationale: </w:t>
      </w:r>
      <w:r>
        <w:rPr>
          <w:rFonts w:ascii="Courier New" w:hAnsi="Courier New"/>
          <w:color w:val="1F4D78"/>
          <w:sz w:val="20"/>
        </w:rPr>
        <w:t>The tested display accepted attacker-controlled traffic as trusted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