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00"/>
        <w:jc w:val="center"/>
      </w:pPr>
      <w:r>
        <w:rPr>
          <w:rFonts w:ascii="Calibri" w:hAnsi="Calibri"/>
          <w:b/>
          <w:color w:val="0B2545"/>
          <w:sz w:val="60"/>
        </w:rPr>
        <w:t>FARI</w:t>
      </w:r>
    </w:p>
    <w:p>
      <w:pPr>
        <w:spacing w:after="160"/>
        <w:jc w:val="center"/>
      </w:pPr>
      <w:r>
        <w:rPr>
          <w:rFonts w:ascii="Calibri" w:hAnsi="Calibri"/>
          <w:b/>
          <w:color w:val="2E74B5"/>
          <w:sz w:val="36"/>
        </w:rPr>
        <w:t>Scenario Test Catalog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30"/>
        </w:rPr>
        <w:t>Versioned Demo Portfolio and Coverage Matrix</w:t>
      </w:r>
    </w:p>
    <w:p>
      <w:pPr>
        <w:spacing w:after="120"/>
        <w:jc w:val="center"/>
      </w:pPr>
      <w:r>
        <w:rPr>
          <w:rFonts w:ascii="Calibri" w:hAnsi="Calibri"/>
          <w:color w:val="667085"/>
          <w:sz w:val="22"/>
        </w:rPr>
        <w:t>Release source: FARI-SCENARIO-TEST-CATALOG-RELEASE.md</w:t>
      </w:r>
    </w:p>
    <w:p>
      <w:pPr>
        <w:spacing w:before="360"/>
        <w:jc w:val="center"/>
      </w:pPr>
      <w:r>
        <w:rPr>
          <w:rFonts w:ascii="Calibri" w:hAnsi="Calibri"/>
          <w:b/>
          <w:color w:val="667085"/>
          <w:sz w:val="20"/>
        </w:rPr>
        <w:t>FARI v1.2.0  |  2026-06-26</w:t>
      </w:r>
    </w:p>
    <w:p/>
    <w:p/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This is the versioned release edition of the FARI documentation bundle. Canonical working sources for this release are stored under the same version folder.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rPr>
          <w:rFonts w:ascii="Calibri" w:hAnsi="Calibri"/>
          <w:sz w:val="22"/>
        </w:rPr>
        <w:t>Seeded workspace catalog for the local FARI demo database.</w:t>
      </w:r>
    </w:p>
    <w:p>
      <w:r>
        <w:rPr>
          <w:rFonts w:ascii="Calibri" w:hAnsi="Calibri"/>
          <w:sz w:val="22"/>
        </w:rPr>
        <w:t>This release edition keeps the same portfolio coverage as the canonical source, but restructures the assessment list for easier executive reading in PDF form.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Coverage summary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Does Not Meet</w:t>
      </w:r>
      <w:r>
        <w:rPr>
          <w:rFonts w:ascii="Calibri" w:hAnsi="Calibri"/>
          <w:sz w:val="22"/>
        </w:rPr>
        <w:t>: present in current state and in initial mitigation snapshots.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Meets</w:t>
      </w:r>
      <w:r>
        <w:rPr>
          <w:rFonts w:ascii="Calibri" w:hAnsi="Calibri"/>
          <w:sz w:val="22"/>
        </w:rPr>
        <w:t>: present in clean success, mitigation-success, and compensating-control cases.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Inconclusive</w:t>
      </w:r>
      <w:r>
        <w:rPr>
          <w:rFonts w:ascii="Calibri" w:hAnsi="Calibri"/>
          <w:sz w:val="22"/>
        </w:rPr>
        <w:t>: present as a closed replay-characterization case.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Not Assessed</w:t>
      </w:r>
      <w:r>
        <w:rPr>
          <w:rFonts w:ascii="Calibri" w:hAnsi="Calibri"/>
          <w:sz w:val="22"/>
        </w:rPr>
        <w:t>: present as a draft non-gating intake case.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Demonstrated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1F4D78"/>
          <w:sz w:val="20"/>
        </w:rPr>
        <w:t>Plausible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1F4D78"/>
          <w:sz w:val="20"/>
        </w:rPr>
        <w:t>Not Demonstrated</w:t>
      </w:r>
      <w:r>
        <w:rPr>
          <w:rFonts w:ascii="Calibri" w:hAnsi="Calibri"/>
          <w:sz w:val="22"/>
        </w:rPr>
        <w:t xml:space="preserve">, and </w:t>
      </w:r>
      <w:r>
        <w:rPr>
          <w:rFonts w:ascii="Courier New" w:hAnsi="Courier New"/>
          <w:color w:val="1F4D78"/>
          <w:sz w:val="20"/>
        </w:rPr>
        <w:t>Not Evaluated</w:t>
      </w:r>
      <w:r>
        <w:rPr>
          <w:rFonts w:ascii="Calibri" w:hAnsi="Calibri"/>
          <w:sz w:val="22"/>
        </w:rPr>
        <w:t xml:space="preserve"> are all represented.</w:t>
      </w:r>
    </w:p>
    <w:p>
      <w:pPr>
        <w:pStyle w:val="ListBullet"/>
      </w:pPr>
      <w:r>
        <w:rPr>
          <w:rFonts w:ascii="Calibri" w:hAnsi="Calibri"/>
          <w:sz w:val="22"/>
        </w:rPr>
        <w:t>Every seeded case includes an SPD-5 companion profile.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Assessment portfolio</w:t>
      </w:r>
    </w:p>
    <w:p>
      <w:pPr>
        <w:pStyle w:val="Heading3"/>
      </w:pPr>
      <w:r>
        <w:rPr>
          <w:rFonts w:ascii="Courier New" w:hAnsi="Courier New"/>
          <w:color w:val="1F4D78"/>
          <w:sz w:val="22"/>
        </w:rPr>
        <w:t>ASM-2026-0001</w:t>
      </w:r>
      <w:r>
        <w:rPr>
          <w:rFonts w:ascii="Calibri" w:hAnsi="Calibri"/>
          <w:color w:val="1F4D78"/>
          <w:sz w:val="24"/>
        </w:rPr>
        <w:t xml:space="preserve"> Command Auth Fallback Review</w:t>
      </w:r>
    </w:p>
    <w:p>
      <w:pPr>
        <w:pStyle w:val="ListBullet"/>
      </w:pPr>
      <w:r>
        <w:rPr>
          <w:rFonts w:ascii="Calibri" w:hAnsi="Calibri"/>
          <w:sz w:val="22"/>
        </w:rPr>
        <w:t>Current result: `</w:t>
      </w:r>
      <w:r>
        <w:rPr>
          <w:rFonts w:ascii="Courier New" w:hAnsi="Courier New"/>
          <w:color w:val="1F4D78"/>
          <w:sz w:val="20"/>
        </w:rPr>
        <w:t>does_not_meet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Scenario disposition: `</w:t>
      </w:r>
      <w:r>
        <w:rPr>
          <w:rFonts w:ascii="Courier New" w:hAnsi="Courier New"/>
          <w:color w:val="1F4D78"/>
          <w:sz w:val="20"/>
        </w:rPr>
        <w:t>demonstrated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SPD-5 companion: `</w:t>
      </w:r>
      <w:r>
        <w:rPr>
          <w:rFonts w:ascii="Courier New" w:hAnsi="Courier New"/>
          <w:color w:val="1F4D78"/>
          <w:sz w:val="20"/>
        </w:rPr>
        <w:t>Partial alignment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Posture: `</w:t>
      </w:r>
      <w:r>
        <w:rPr>
          <w:rFonts w:ascii="Courier New" w:hAnsi="Courier New"/>
          <w:color w:val="1F4D78"/>
          <w:sz w:val="20"/>
        </w:rPr>
        <w:t>partially_aligned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Versions: v1: Initial confirmed bypass on the legacy bridge. / v2: RF path fixed, residual maintenance bridge keeps the finding open.</w:t>
      </w:r>
    </w:p>
    <w:p>
      <w:pPr>
        <w:pStyle w:val="ListBullet"/>
      </w:pPr>
      <w:r>
        <w:rPr>
          <w:rFonts w:ascii="Calibri" w:hAnsi="Calibri"/>
          <w:sz w:val="22"/>
        </w:rPr>
        <w:t>Notes: Covers a realistic partial mitigation where the executive result remains Does Not Meet.</w:t>
      </w:r>
    </w:p>
    <w:p>
      <w:pPr>
        <w:pStyle w:val="Heading3"/>
      </w:pPr>
      <w:r>
        <w:rPr>
          <w:rFonts w:ascii="Courier New" w:hAnsi="Courier New"/>
          <w:color w:val="1F4D78"/>
          <w:sz w:val="22"/>
        </w:rPr>
        <w:t>ASM-2026-0002</w:t>
      </w:r>
      <w:r>
        <w:rPr>
          <w:rFonts w:ascii="Calibri" w:hAnsi="Calibri"/>
          <w:color w:val="1F4D78"/>
          <w:sz w:val="24"/>
        </w:rPr>
        <w:t xml:space="preserve"> Privileged Operator MFA Rollout</w:t>
      </w:r>
    </w:p>
    <w:p>
      <w:pPr>
        <w:pStyle w:val="ListBullet"/>
      </w:pPr>
      <w:r>
        <w:rPr>
          <w:rFonts w:ascii="Calibri" w:hAnsi="Calibri"/>
          <w:sz w:val="22"/>
        </w:rPr>
        <w:t>Current result: `</w:t>
      </w:r>
      <w:r>
        <w:rPr>
          <w:rFonts w:ascii="Courier New" w:hAnsi="Courier New"/>
          <w:color w:val="1F4D78"/>
          <w:sz w:val="20"/>
        </w:rPr>
        <w:t>meets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Scenario disposition: `</w:t>
      </w:r>
      <w:r>
        <w:rPr>
          <w:rFonts w:ascii="Courier New" w:hAnsi="Courier New"/>
          <w:color w:val="1F4D78"/>
          <w:sz w:val="20"/>
        </w:rPr>
        <w:t>not_demonstrated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SPD-5 companion: `</w:t>
      </w:r>
      <w:r>
        <w:rPr>
          <w:rFonts w:ascii="Courier New" w:hAnsi="Courier New"/>
          <w:color w:val="1F4D78"/>
          <w:sz w:val="20"/>
        </w:rPr>
        <w:t>Evidence-backed alignment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Posture: `</w:t>
      </w:r>
      <w:r>
        <w:rPr>
          <w:rFonts w:ascii="Courier New" w:hAnsi="Courier New"/>
          <w:color w:val="1F4D78"/>
          <w:sz w:val="20"/>
        </w:rPr>
        <w:t>aligned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Versions: v1: Password-only privileged access confirmed. / v2: MFA enforced and retested successfully.</w:t>
      </w:r>
    </w:p>
    <w:p>
      <w:pPr>
        <w:pStyle w:val="ListBullet"/>
      </w:pPr>
      <w:r>
        <w:rPr>
          <w:rFonts w:ascii="Calibri" w:hAnsi="Calibri"/>
          <w:sz w:val="22"/>
        </w:rPr>
        <w:t>Notes: Canonical mitigation example that ends in Meets with a clear audit trail.</w:t>
      </w:r>
    </w:p>
    <w:p>
      <w:pPr>
        <w:pStyle w:val="Heading3"/>
      </w:pPr>
      <w:r>
        <w:rPr>
          <w:rFonts w:ascii="Courier New" w:hAnsi="Courier New"/>
          <w:color w:val="1F4D78"/>
          <w:sz w:val="22"/>
        </w:rPr>
        <w:t>ASM-2026-0003</w:t>
      </w:r>
      <w:r>
        <w:rPr>
          <w:rFonts w:ascii="Calibri" w:hAnsi="Calibri"/>
          <w:color w:val="1F4D78"/>
          <w:sz w:val="24"/>
        </w:rPr>
        <w:t xml:space="preserve"> Replay Window Characterization</w:t>
      </w:r>
    </w:p>
    <w:p>
      <w:pPr>
        <w:pStyle w:val="ListBullet"/>
      </w:pPr>
      <w:r>
        <w:rPr>
          <w:rFonts w:ascii="Calibri" w:hAnsi="Calibri"/>
          <w:sz w:val="22"/>
        </w:rPr>
        <w:t>Current result: `</w:t>
      </w:r>
      <w:r>
        <w:rPr>
          <w:rFonts w:ascii="Courier New" w:hAnsi="Courier New"/>
          <w:color w:val="1F4D78"/>
          <w:sz w:val="20"/>
        </w:rPr>
        <w:t>inconclusive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Scenario disposition: `</w:t>
      </w:r>
      <w:r>
        <w:rPr>
          <w:rFonts w:ascii="Courier New" w:hAnsi="Courier New"/>
          <w:color w:val="1F4D78"/>
          <w:sz w:val="20"/>
        </w:rPr>
        <w:t>plausible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SPD-5 companion: `</w:t>
      </w:r>
      <w:r>
        <w:rPr>
          <w:rFonts w:ascii="Courier New" w:hAnsi="Courier New"/>
          <w:color w:val="1F4D78"/>
          <w:sz w:val="20"/>
        </w:rPr>
        <w:t>Inconclusive due to scope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Posture: `</w:t>
      </w:r>
      <w:r>
        <w:rPr>
          <w:rFonts w:ascii="Courier New" w:hAnsi="Courier New"/>
          <w:color w:val="1F4D78"/>
          <w:sz w:val="20"/>
        </w:rPr>
        <w:t>inconclusive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Versions: v1: Short-window replay retest only; full freshness coverage still pending.</w:t>
      </w:r>
    </w:p>
    <w:p>
      <w:pPr>
        <w:pStyle w:val="ListBullet"/>
      </w:pPr>
      <w:r>
        <w:rPr>
          <w:rFonts w:ascii="Calibri" w:hAnsi="Calibri"/>
          <w:sz w:val="22"/>
        </w:rPr>
        <w:t>Notes: Reference case for Inconclusive plus Plausible and an inconclusive SPD-5 overlay.</w:t>
      </w:r>
    </w:p>
    <w:p>
      <w:pPr>
        <w:pStyle w:val="Heading3"/>
      </w:pPr>
      <w:r>
        <w:rPr>
          <w:rFonts w:ascii="Courier New" w:hAnsi="Courier New"/>
          <w:color w:val="1F4D78"/>
          <w:sz w:val="22"/>
        </w:rPr>
        <w:t>ASM-2026-0004</w:t>
      </w:r>
      <w:r>
        <w:rPr>
          <w:rFonts w:ascii="Calibri" w:hAnsi="Calibri"/>
          <w:color w:val="1F4D78"/>
          <w:sz w:val="24"/>
        </w:rPr>
        <w:t xml:space="preserve"> Telemetry API RBAC Review</w:t>
      </w:r>
    </w:p>
    <w:p>
      <w:pPr>
        <w:pStyle w:val="ListBullet"/>
      </w:pPr>
      <w:r>
        <w:rPr>
          <w:rFonts w:ascii="Calibri" w:hAnsi="Calibri"/>
          <w:sz w:val="22"/>
        </w:rPr>
        <w:t>Current result: `</w:t>
      </w:r>
      <w:r>
        <w:rPr>
          <w:rFonts w:ascii="Courier New" w:hAnsi="Courier New"/>
          <w:color w:val="1F4D78"/>
          <w:sz w:val="20"/>
        </w:rPr>
        <w:t>meets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Scenario disposition: `</w:t>
      </w:r>
      <w:r>
        <w:rPr>
          <w:rFonts w:ascii="Courier New" w:hAnsi="Courier New"/>
          <w:color w:val="1F4D78"/>
          <w:sz w:val="20"/>
        </w:rPr>
        <w:t>not_demonstrated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SPD-5 companion: `</w:t>
      </w:r>
      <w:r>
        <w:rPr>
          <w:rFonts w:ascii="Courier New" w:hAnsi="Courier New"/>
          <w:color w:val="1F4D78"/>
          <w:sz w:val="20"/>
        </w:rPr>
        <w:t>Evidence-backed alignment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Posture: `</w:t>
      </w:r>
      <w:r>
        <w:rPr>
          <w:rFonts w:ascii="Courier New" w:hAnsi="Courier New"/>
          <w:color w:val="1F4D78"/>
          <w:sz w:val="20"/>
        </w:rPr>
        <w:t>aligned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Versions: v1: RBAC and audit controls confirmed on the telemetry API path.</w:t>
      </w:r>
    </w:p>
    <w:p>
      <w:pPr>
        <w:pStyle w:val="ListBullet"/>
      </w:pPr>
      <w:r>
        <w:rPr>
          <w:rFonts w:ascii="Calibri" w:hAnsi="Calibri"/>
          <w:sz w:val="22"/>
        </w:rPr>
        <w:t>Notes: Primary cloud reference for a clean success case.</w:t>
      </w:r>
    </w:p>
    <w:p>
      <w:pPr>
        <w:pStyle w:val="Heading3"/>
      </w:pPr>
      <w:r>
        <w:rPr>
          <w:rFonts w:ascii="Courier New" w:hAnsi="Courier New"/>
          <w:color w:val="1F4D78"/>
          <w:sz w:val="22"/>
        </w:rPr>
        <w:t>ASM-2026-0005</w:t>
      </w:r>
      <w:r>
        <w:rPr>
          <w:rFonts w:ascii="Calibri" w:hAnsi="Calibri"/>
          <w:color w:val="1F4D78"/>
          <w:sz w:val="24"/>
        </w:rPr>
        <w:t xml:space="preserve"> Third-Party Firmware Intake</w:t>
      </w:r>
    </w:p>
    <w:p>
      <w:pPr>
        <w:pStyle w:val="ListBullet"/>
      </w:pPr>
      <w:r>
        <w:rPr>
          <w:rFonts w:ascii="Calibri" w:hAnsi="Calibri"/>
          <w:sz w:val="22"/>
        </w:rPr>
        <w:t>Current result: `</w:t>
      </w:r>
      <w:r>
        <w:rPr>
          <w:rFonts w:ascii="Courier New" w:hAnsi="Courier New"/>
          <w:color w:val="1F4D78"/>
          <w:sz w:val="20"/>
        </w:rPr>
        <w:t>not_assessed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Scenario disposition: `</w:t>
      </w:r>
      <w:r>
        <w:rPr>
          <w:rFonts w:ascii="Courier New" w:hAnsi="Courier New"/>
          <w:color w:val="1F4D78"/>
          <w:sz w:val="20"/>
        </w:rPr>
        <w:t>not_evaluated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SPD-5 companion: `</w:t>
      </w:r>
      <w:r>
        <w:rPr>
          <w:rFonts w:ascii="Courier New" w:hAnsi="Courier New"/>
          <w:color w:val="1F4D78"/>
          <w:sz w:val="20"/>
        </w:rPr>
        <w:t>Supplier attestation pending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Posture: `</w:t>
      </w:r>
      <w:r>
        <w:rPr>
          <w:rFonts w:ascii="Courier New" w:hAnsi="Courier New"/>
          <w:color w:val="1F4D78"/>
          <w:sz w:val="20"/>
        </w:rPr>
        <w:t>inconclusive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Versions: v1: Intake-only snapshot with a real Not Assessed outcome.</w:t>
      </w:r>
    </w:p>
    <w:p>
      <w:pPr>
        <w:pStyle w:val="ListBullet"/>
      </w:pPr>
      <w:r>
        <w:rPr>
          <w:rFonts w:ascii="Calibri" w:hAnsi="Calibri"/>
          <w:sz w:val="22"/>
        </w:rPr>
        <w:t>Notes: Non-gating draft case used to exercise the Not Assessed portfolio state and supplier-pending overlay.</w:t>
      </w:r>
    </w:p>
    <w:p>
      <w:pPr>
        <w:pStyle w:val="Heading3"/>
      </w:pPr>
      <w:r>
        <w:rPr>
          <w:rFonts w:ascii="Courier New" w:hAnsi="Courier New"/>
          <w:color w:val="1F4D78"/>
          <w:sz w:val="22"/>
        </w:rPr>
        <w:t>ASM-2026-0006</w:t>
      </w:r>
      <w:r>
        <w:rPr>
          <w:rFonts w:ascii="Calibri" w:hAnsi="Calibri"/>
          <w:color w:val="1F4D78"/>
          <w:sz w:val="24"/>
        </w:rPr>
        <w:t xml:space="preserve"> SBOM Vulnerability Lifecycle</w:t>
      </w:r>
    </w:p>
    <w:p>
      <w:pPr>
        <w:pStyle w:val="ListBullet"/>
      </w:pPr>
      <w:r>
        <w:rPr>
          <w:rFonts w:ascii="Calibri" w:hAnsi="Calibri"/>
          <w:sz w:val="22"/>
        </w:rPr>
        <w:t>Current result: `</w:t>
      </w:r>
      <w:r>
        <w:rPr>
          <w:rFonts w:ascii="Courier New" w:hAnsi="Courier New"/>
          <w:color w:val="1F4D78"/>
          <w:sz w:val="20"/>
        </w:rPr>
        <w:t>meets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Scenario disposition: `</w:t>
      </w:r>
      <w:r>
        <w:rPr>
          <w:rFonts w:ascii="Courier New" w:hAnsi="Courier New"/>
          <w:color w:val="1F4D78"/>
          <w:sz w:val="20"/>
        </w:rPr>
        <w:t>not_demonstrated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SPD-5 companion: `</w:t>
      </w:r>
      <w:r>
        <w:rPr>
          <w:rFonts w:ascii="Courier New" w:hAnsi="Courier New"/>
          <w:color w:val="1F4D78"/>
          <w:sz w:val="20"/>
        </w:rPr>
        <w:t>Continuous assurance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Posture: `</w:t>
      </w:r>
      <w:r>
        <w:rPr>
          <w:rFonts w:ascii="Courier New" w:hAnsi="Courier New"/>
          <w:color w:val="1F4D78"/>
          <w:sz w:val="20"/>
        </w:rPr>
        <w:t>aligned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Versions: v1: Baseline image contains libfoo 1.4.2 with an open advisory. / v2: SBOM refresh confirms libfoo 1.4.5 and closes the claim.</w:t>
      </w:r>
    </w:p>
    <w:p>
      <w:pPr>
        <w:pStyle w:val="ListBullet"/>
      </w:pPr>
      <w:r>
        <w:rPr>
          <w:rFonts w:ascii="Calibri" w:hAnsi="Calibri"/>
          <w:sz w:val="22"/>
        </w:rPr>
        <w:t>Notes: Primary continuous-assurance example using SBOM, inventory events, and mitigation traceability.</w:t>
      </w:r>
    </w:p>
    <w:p>
      <w:pPr>
        <w:pStyle w:val="Heading3"/>
      </w:pPr>
      <w:r>
        <w:rPr>
          <w:rFonts w:ascii="Courier New" w:hAnsi="Courier New"/>
          <w:color w:val="1F4D78"/>
          <w:sz w:val="22"/>
        </w:rPr>
        <w:t>ASM-2026-0007</w:t>
      </w:r>
      <w:r>
        <w:rPr>
          <w:rFonts w:ascii="Calibri" w:hAnsi="Calibri"/>
          <w:color w:val="1F4D78"/>
          <w:sz w:val="24"/>
        </w:rPr>
        <w:t xml:space="preserve"> Command-Link Confidentiality Rehearsal</w:t>
      </w:r>
    </w:p>
    <w:p>
      <w:pPr>
        <w:pStyle w:val="ListBullet"/>
      </w:pPr>
      <w:r>
        <w:rPr>
          <w:rFonts w:ascii="Calibri" w:hAnsi="Calibri"/>
          <w:sz w:val="22"/>
        </w:rPr>
        <w:t>Current result: `</w:t>
      </w:r>
      <w:r>
        <w:rPr>
          <w:rFonts w:ascii="Courier New" w:hAnsi="Courier New"/>
          <w:color w:val="1F4D78"/>
          <w:sz w:val="20"/>
        </w:rPr>
        <w:t>meets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Scenario disposition: `</w:t>
      </w:r>
      <w:r>
        <w:rPr>
          <w:rFonts w:ascii="Courier New" w:hAnsi="Courier New"/>
          <w:color w:val="1F4D78"/>
          <w:sz w:val="20"/>
        </w:rPr>
        <w:t>plausible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SPD-5 companion: `</w:t>
      </w:r>
      <w:r>
        <w:rPr>
          <w:rFonts w:ascii="Courier New" w:hAnsi="Courier New"/>
          <w:color w:val="1F4D78"/>
          <w:sz w:val="20"/>
        </w:rPr>
        <w:t>Compensating controls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Posture: `</w:t>
      </w:r>
      <w:r>
        <w:rPr>
          <w:rFonts w:ascii="Courier New" w:hAnsi="Courier New"/>
          <w:color w:val="1F4D78"/>
          <w:sz w:val="20"/>
        </w:rPr>
        <w:t>aligned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Versions: v1: Scoped confidentiality result based on compensating controls.</w:t>
      </w:r>
    </w:p>
    <w:p>
      <w:pPr>
        <w:pStyle w:val="ListBullet"/>
      </w:pPr>
      <w:r>
        <w:rPr>
          <w:rFonts w:ascii="Calibri" w:hAnsi="Calibri"/>
          <w:sz w:val="22"/>
        </w:rPr>
        <w:t>Notes: Reference case for Meets plus Plausible and the compensating-controls companion scenario.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Filter expectations</w:t>
      </w:r>
    </w:p>
    <w:p>
      <w:pPr>
        <w:pStyle w:val="ListBullet"/>
      </w:pPr>
      <w:r>
        <w:rPr>
          <w:rFonts w:ascii="Calibri" w:hAnsi="Calibri"/>
          <w:sz w:val="22"/>
        </w:rPr>
        <w:t xml:space="preserve">Portfolio filters should show closed assessments in </w:t>
      </w:r>
      <w:r>
        <w:rPr>
          <w:rFonts w:ascii="Courier New" w:hAnsi="Courier New"/>
          <w:color w:val="1F4D78"/>
          <w:sz w:val="20"/>
        </w:rPr>
        <w:t>meets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1F4D78"/>
          <w:sz w:val="20"/>
        </w:rPr>
        <w:t>does_not_meet</w:t>
      </w:r>
      <w:r>
        <w:rPr>
          <w:rFonts w:ascii="Calibri" w:hAnsi="Calibri"/>
          <w:sz w:val="22"/>
        </w:rPr>
        <w:t xml:space="preserve">, and </w:t>
      </w:r>
      <w:r>
        <w:rPr>
          <w:rFonts w:ascii="Courier New" w:hAnsi="Courier New"/>
          <w:color w:val="1F4D78"/>
          <w:sz w:val="20"/>
        </w:rPr>
        <w:t>inconclusive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The draft intake case should keep a genuine </w:t>
      </w:r>
      <w:r>
        <w:rPr>
          <w:rFonts w:ascii="Courier New" w:hAnsi="Courier New"/>
          <w:color w:val="1F4D78"/>
          <w:sz w:val="20"/>
        </w:rPr>
        <w:t>not_assessed</w:t>
      </w:r>
      <w:r>
        <w:rPr>
          <w:rFonts w:ascii="Calibri" w:hAnsi="Calibri"/>
          <w:sz w:val="22"/>
        </w:rPr>
        <w:t xml:space="preserve"> overall state because its investigation is non-gating.</w:t>
      </w:r>
    </w:p>
    <w:p>
      <w:pPr>
        <w:pStyle w:val="ListBullet"/>
      </w:pPr>
      <w:r>
        <w:rPr>
          <w:rFonts w:ascii="Calibri" w:hAnsi="Calibri"/>
          <w:sz w:val="22"/>
        </w:rPr>
        <w:t>Traceability comparisons should be most interesting on the MFA rollout, auth fallback, and SBOM lifecycle cases.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Suggested demo order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urier New" w:hAnsi="Courier New"/>
          <w:color w:val="1F4D78"/>
          <w:sz w:val="20"/>
        </w:rPr>
        <w:t>ASM-2026-0001</w:t>
      </w:r>
      <w:r>
        <w:rPr>
          <w:rFonts w:ascii="Calibri" w:hAnsi="Calibri"/>
          <w:sz w:val="22"/>
        </w:rPr>
        <w:t xml:space="preserve"> for a partial mitigation that still fails.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urier New" w:hAnsi="Courier New"/>
          <w:color w:val="1F4D78"/>
          <w:sz w:val="20"/>
        </w:rPr>
        <w:t>ASM-2026-0002</w:t>
      </w:r>
      <w:r>
        <w:rPr>
          <w:rFonts w:ascii="Calibri" w:hAnsi="Calibri"/>
          <w:sz w:val="22"/>
        </w:rPr>
        <w:t xml:space="preserve"> for a clean mitigation success.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urier New" w:hAnsi="Courier New"/>
          <w:color w:val="1F4D78"/>
          <w:sz w:val="20"/>
        </w:rPr>
        <w:t>ASM-2026-0003</w:t>
      </w:r>
      <w:r>
        <w:rPr>
          <w:rFonts w:ascii="Calibri" w:hAnsi="Calibri"/>
          <w:sz w:val="22"/>
        </w:rPr>
        <w:t xml:space="preserve"> for a defensible inconclusive result.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urier New" w:hAnsi="Courier New"/>
          <w:color w:val="1F4D78"/>
          <w:sz w:val="20"/>
        </w:rPr>
        <w:t>ASM-2026-0005</w:t>
      </w:r>
      <w:r>
        <w:rPr>
          <w:rFonts w:ascii="Calibri" w:hAnsi="Calibri"/>
          <w:sz w:val="22"/>
        </w:rPr>
        <w:t xml:space="preserve"> for a true draft intake and supplier-pending view.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urier New" w:hAnsi="Courier New"/>
          <w:color w:val="1F4D78"/>
          <w:sz w:val="20"/>
        </w:rPr>
        <w:t>ASM-2026-0006</w:t>
      </w:r>
      <w:r>
        <w:rPr>
          <w:rFonts w:ascii="Calibri" w:hAnsi="Calibri"/>
          <w:sz w:val="22"/>
        </w:rPr>
        <w:t xml:space="preserve"> for SBOM-driven continuous assurance.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8"/>
      </w:rPr>
      <w:t>FARI  |  Framework for Aerospace Research and Investigation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