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Expression des besoins</w:t>
      </w:r>
    </w:p>
    <w:p>
      <w:pPr>
        <w:spacing w:after="120"/>
      </w:pPr>
      <w:r>
        <w:rPr>
          <w:rFonts w:ascii="Calibri" w:cs="Calibri" w:eastAsia="Calibri" w:hAnsi="Calibri"/>
          <w:i/>
          <w:iCs/>
          <w:color w:val="595959"/>
          <w:sz w:val="21"/>
          <w:szCs w:val="21"/>
        </w:rPr>
        <w:t xml:space="preserve">Projet MobiPass : nouvelle version du SAD (prototype POC sous Oracle)</w:t>
      </w:r>
    </w:p>
    <w:p>
      <w:pPr>
        <w:spacing w:after="120"/>
      </w:pPr>
      <w:r>
        <w:rPr>
          <w:rFonts w:ascii="Calibri" w:cs="Calibri" w:eastAsia="Calibri" w:hAnsi="Calibri"/>
          <w:sz w:val="21"/>
          <w:szCs w:val="21"/>
        </w:rPr>
        <w:t xml:space="preserve">Cette section traduit le cahier des charges de MobiPass en besoins décisionnels. Deux classes de décideurs sont identifiées : le responsable des locations et les responsables des ventes. Ces derniers sont deux personnes (Lyon et Berlin) mais forment une seule classe, car leurs besoins sont identiques ; seul le périmètre géographique des données change. Les besoins marqués « proposé » ne sont pas explicités dans le cahier des charges : ce sont des rapports que nous proposons, le client nous ayant laissé le soin de les définir.</w:t>
      </w:r>
    </w:p>
    <w:p>
      <w:pPr>
        <w:pStyle w:val="Heading2"/>
      </w:pPr>
      <w:r>
        <w:t xml:space="preserve">Tableau des besoins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900"/>
        <w:gridCol w:w="4300"/>
        <w:gridCol w:w="2600"/>
        <w:gridCol w:w="2000"/>
      </w:tblGrid>
      <w:tr>
        <w:trPr>
          <w:tblHeader/>
        </w:trPr>
        <w:tc>
          <w:tcPr>
            <w:tcW w:type="dxa" w:w="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Réf.</w:t>
            </w:r>
          </w:p>
        </w:tc>
        <w:tc>
          <w:tcPr>
            <w:tcW w:type="dxa" w:w="1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Classe de décideur</w:t>
            </w:r>
          </w:p>
        </w:tc>
        <w:tc>
          <w:tcPr>
            <w:tcW w:type="dxa" w:w="2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Besoin (description)</w:t>
            </w:r>
          </w:p>
        </w:tc>
        <w:tc>
          <w:tcPr>
            <w:tcW w:type="dxa" w:w="43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Restitutions souhaitées</w:t>
            </w:r>
          </w:p>
        </w:tc>
        <w:tc>
          <w:tcPr>
            <w:tcW w:type="dxa" w:w="2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Type de restitution</w:t>
            </w:r>
          </w:p>
        </w:tc>
        <w:tc>
          <w:tcPr>
            <w:tcW w:type="dxa" w:w="20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Fréquence / origine</w:t>
            </w:r>
          </w:p>
        </w:tc>
      </w:tr>
      <w:tr>
        <w:trPr>
          <w:cantSplit/>
        </w:trPr>
        <w:tc>
          <w:tcPr>
            <w:tcW w:type="dxa" w:w="900"/>
            <w:vMerge w:val="restart"/>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B1</w:t>
            </w:r>
          </w:p>
        </w:tc>
        <w:tc>
          <w:tcPr>
            <w:tcW w:type="dxa" w:w="1700"/>
            <w:vMerge w:val="restart"/>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 des locations</w:t>
            </w:r>
          </w:p>
        </w:tc>
        <w:tc>
          <w:tcPr>
            <w:tcW w:type="dxa" w:w="2900"/>
            <w:vMerge w:val="restart"/>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Suivi quotidien des locations : accès le plus rapide possible aux analyses récurrentes, sans connaissance d'un langage de requêtes.</w:t>
            </w: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B1.1 : Montants des locations réellement payés, par mois et par société</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Tableau croisé (sociétés × mois)</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Quotidienne · explicite (a)</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B1.2 : Montants réellement payés et durées des locations, par semaine et par salarié</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Tableau croisé (salariés × semaines)</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Quotidienne · explicite (b)</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B1.3 : Durées des locations, par mois et par région (France et Allemagne)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Tableau + graphique (histogramme ou courbes par région)</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Quotidienne · explicite (c)</w:t>
            </w:r>
          </w:p>
        </w:tc>
      </w:tr>
      <w:tr>
        <w:trPr>
          <w:cantSplit/>
        </w:trPr>
        <w:tc>
          <w:tcPr>
            <w:tcW w:type="dxa" w:w="900"/>
            <w:vMerge w:val="restart"/>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B2</w:t>
            </w:r>
          </w:p>
        </w:tc>
        <w:tc>
          <w:tcPr>
            <w:tcW w:type="dxa" w:w="1700"/>
            <w:vMerge w:val="restart"/>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 des locations</w:t>
            </w:r>
          </w:p>
        </w:tc>
        <w:tc>
          <w:tcPr>
            <w:tcW w:type="dxa" w:w="2900"/>
            <w:vMerge w:val="restart"/>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en ligne libre des locations pour comprendre les périodes de tension (printemps, été) et ajuster le parc.</w:t>
            </w: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B2.1 : Durée, montant au prix public et montant réellement payé des locations, par semaine, mois et année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OLAP interactive (forage, rotation, filtres)</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À la demande · explicite</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B2.2 : Mêmes mesures selon l'exemplaire et toutes ses informations produit (produit, gamme, secteur, génération, fabricant, agence)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OLAP interactive</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À la demande · explicite</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B2.3 : Mêmes mesures selon l'employé (nom, prénom, profil, classe de trajet) et la géographie de sa société, quel que soit son pays</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OLAP interactive</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À la demande · explicite</w:t>
            </w:r>
          </w:p>
        </w:tc>
      </w:tr>
      <w:tr>
        <w:trPr>
          <w:cantSplit/>
        </w:trPr>
        <w:tc>
          <w:tcPr>
            <w:tcW w:type="dxa" w:w="900"/>
            <w:vMerge w:val="restart"/>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B3</w:t>
            </w:r>
          </w:p>
        </w:tc>
        <w:tc>
          <w:tcPr>
            <w:tcW w:type="dxa" w:w="1700"/>
            <w:vMerge w:val="restart"/>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Responsables des ventes (Lyon : France, Berlin : Allemagne)</w:t>
            </w:r>
          </w:p>
        </w:tc>
        <w:tc>
          <w:tcPr>
            <w:tcW w:type="dxa" w:w="2900"/>
            <w:vMerge w:val="restart"/>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Pilotage des ventes à moyen terme, chaque responsable limité aux données de son pays.</w:t>
            </w: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B3.1 : Quantités achetées, montants réellement payés et bénéfices, par jour, mois et année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Tableau croisé + courbe d'évolution</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Hebdomadaire · explicite</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B3.2 : Mêmes mesures selon les produits (produit, gamme, secteur) et les employés (profil, classe de trajet, métier ROME pour la France)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OLAP interactive / tableau croisé</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À la demande · explicite</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B3.3 : Mêmes mesures selon les sociétés (type INSEE, catégorie juridique, positionnement géographique)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OLAP interactive / tableau croisé</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À la demande · explicite</w:t>
            </w:r>
          </w:p>
        </w:tc>
      </w:tr>
      <w:tr>
        <w:trPr>
          <w:cantSplit/>
        </w:trPr>
        <w:tc>
          <w:tcPr>
            <w:tcW w:type="dxa" w:w="900"/>
            <w:vMerge w:val="restart"/>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B4</w:t>
            </w:r>
          </w:p>
        </w:tc>
        <w:tc>
          <w:tcPr>
            <w:tcW w:type="dxa" w:w="1700"/>
            <w:vMerge w:val="restart"/>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Responsables des ventes</w:t>
            </w:r>
          </w:p>
        </w:tc>
        <w:tc>
          <w:tcPr>
            <w:tcW w:type="dxa" w:w="2900"/>
            <w:vMerge w:val="restart"/>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Vision long terme : identifier les gammes de produits les plus adaptées à chaque lieu (rapports emblématiques proposés par l'ESN).</w:t>
            </w: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sz w:val="18"/>
                <w:szCs w:val="18"/>
              </w:rPr>
              <w:t xml:space="preserve">B4.1 (proposé) : Rapport « Tableau de bord des ventes » : quantités, montant payé et bénéfice par mois, avec comparaison à l'année précédente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Tableau de bord (indicateurs + courbes)</w:t>
            </w:r>
          </w:p>
        </w:tc>
        <w:tc>
          <w:tcPr>
            <w:tcW w:type="dxa" w:w="2000"/>
            <w:tcBorders>
              <w:top w:val="single" w:color="8EA9C1" w:sz="4"/>
              <w:left w:val="single" w:color="8EA9C1" w:sz="4"/>
              <w:bottom w:val="single" w:color="8EA9C1" w:sz="4"/>
              <w:right w:val="single" w:color="8EA9C1" w:sz="4"/>
            </w:tcBorders>
            <w:shd w:fill="FFF4E0"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Mensuelle · proposé</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sz w:val="18"/>
                <w:szCs w:val="18"/>
              </w:rPr>
              <w:t xml:space="preserve">B4.2 (proposé) : Rapport « Gammes par territoire » : classement des gammes par montant payé pour chaque région (FR) ou Land (DE)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Carte ou histogramme + classement (top N)</w:t>
            </w:r>
          </w:p>
        </w:tc>
        <w:tc>
          <w:tcPr>
            <w:tcW w:type="dxa" w:w="2000"/>
            <w:tcBorders>
              <w:top w:val="single" w:color="8EA9C1" w:sz="4"/>
              <w:left w:val="single" w:color="8EA9C1" w:sz="4"/>
              <w:bottom w:val="single" w:color="8EA9C1" w:sz="4"/>
              <w:right w:val="single" w:color="8EA9C1" w:sz="4"/>
            </w:tcBorders>
            <w:shd w:fill="FFF4E0"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Mensuelle · proposé</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sz w:val="18"/>
                <w:szCs w:val="18"/>
              </w:rPr>
              <w:t xml:space="preserve">B4.3 (proposé) : Ventes par type de société et catégorie juridique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Graphique (barres empilées)</w:t>
            </w:r>
          </w:p>
        </w:tc>
        <w:tc>
          <w:tcPr>
            <w:tcW w:type="dxa" w:w="2000"/>
            <w:tcBorders>
              <w:top w:val="single" w:color="8EA9C1" w:sz="4"/>
              <w:left w:val="single" w:color="8EA9C1" w:sz="4"/>
              <w:bottom w:val="single" w:color="8EA9C1" w:sz="4"/>
              <w:right w:val="single" w:color="8EA9C1" w:sz="4"/>
            </w:tcBorders>
            <w:shd w:fill="FFF4E0"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Trimestrielle · proposé</w:t>
            </w:r>
          </w:p>
        </w:tc>
      </w:tr>
    </w:tbl>
    <w:p>
      <w:pPr>
        <w:spacing w:after="60"/>
      </w:pPr>
      <w:r>
        <w:rPr>
          <w:rFonts w:ascii="Calibri" w:cs="Calibri" w:eastAsia="Calibri" w:hAnsi="Calibri"/>
          <w:sz w:val="21"/>
          <w:szCs w:val="21"/>
        </w:rPr>
        <w:t xml:space="preserve"/>
      </w:r>
    </w:p>
    <w:p>
      <w:pPr>
        <w:spacing w:after="120"/>
      </w:pPr>
      <w:r>
        <w:rPr>
          <w:rFonts w:ascii="Calibri" w:cs="Calibri" w:eastAsia="Calibri" w:hAnsi="Calibri"/>
          <w:i/>
          <w:iCs/>
          <w:color w:val="595959"/>
          <w:sz w:val="18"/>
          <w:szCs w:val="18"/>
        </w:rPr>
        <w:t xml:space="preserve">Les lignes en italique sur fond orangé sont des propositions de l'équipe, à valider avec les responsables des ventes.</w:t>
      </w:r>
    </w:p>
    <w:p>
      <w:pPr>
        <w:pStyle w:val="Heading2"/>
      </w:pPr>
      <w:r>
        <w:t xml:space="preserve">Contraintes non fonctionnelles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300"/>
      </w:tblGrid>
      <w:tr>
        <w:trPr>
          <w:cantSplit/>
          <w:tblHeader/>
        </w:trPr>
        <w:tc>
          <w:tcPr>
            <w:tcW w:type="dxa" w:w="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Réf.</w:t>
            </w:r>
          </w:p>
        </w:tc>
        <w:tc>
          <w:tcPr>
            <w:tcW w:type="dxa" w:w="42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Contrainte</w:t>
            </w:r>
          </w:p>
        </w:tc>
        <w:tc>
          <w:tcPr>
            <w:tcW w:type="dxa" w:w="93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Conséquence pour la conception</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C1</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Temps de réponse extrêmement rapides (B1)</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Données agrégées précalculées (vues matérialisées par mois et par semaine) dans le magasin Locations.</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C2</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Aucune connaissance d'un langage de requêtes</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Restitutions dans un outil de reporting (rapports prêts à l'emploi et navigation par clics) ; guide utilisateur pour chaque décideur.</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C3</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Chaque responsable des ventes ne voit que son pays</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Filtrage par pays (sécurité au niveau des lignes ou un rapport par pays).</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C4</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Tarifs propres à chaque pays et à une période ; France en TTC (20 %), Allemagne en HT (19 %)</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Montants ramenés à une base commune (HT ou TTC, à valider avec le client) et calculés avec le tarif valable à la date de l'opération.</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C5</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Le portail RH alimente l'ED une fois par mois ; l'historique des métiers doit être conservé</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Historisation du métier des salariés (dimension à évolution lente de type 2).</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C6</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Géographie hétérogène : région/département en France, Land/district/arrondissement/commune en Allemagne</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Hiérarchie géographique non homogène sur la dimension Société (niveaux optionnels selon le pays).</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C7</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Analyses par semaine et par mois</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Deux hiérarchies distinctes sur la dimension Temps (jour → semaine et jour → mois → année).</w:t>
            </w:r>
          </w:p>
        </w:tc>
      </w:tr>
    </w:tbl>
    <w:p>
      <w:pPr>
        <w:pStyle w:val="Heading2"/>
      </w:pPr>
      <w:r>
        <w:t xml:space="preserve">Points à valider avec le client</w:t>
      </w:r>
    </w:p>
    <w:p>
      <w:pPr>
        <w:pStyle w:val="ListParagraph"/>
        <w:numPr>
          <w:ilvl w:val="0"/>
          <w:numId w:val="2"/>
        </w:numPr>
        <w:spacing w:after="80"/>
      </w:pPr>
      <w:r>
        <w:t xml:space="preserve">Le « bénéfice » correspond-il bien au montant au prix public diminué du montant réellement payé (c'est-à-dire la remise accordée) ?</w:t>
      </w:r>
    </w:p>
    <w:p>
      <w:pPr>
        <w:pStyle w:val="ListParagraph"/>
        <w:numPr>
          <w:ilvl w:val="0"/>
          <w:numId w:val="2"/>
        </w:numPr>
        <w:spacing w:after="80"/>
      </w:pPr>
      <w:r>
        <w:t xml:space="preserve">Les montants doivent-ils être restitués en HT ou en TTC pour les deux pays ?</w:t>
      </w:r>
    </w:p>
    <w:p>
      <w:pPr>
        <w:pStyle w:val="ListParagraph"/>
        <w:numPr>
          <w:ilvl w:val="0"/>
          <w:numId w:val="2"/>
        </w:numPr>
        <w:spacing w:after="80"/>
      </w:pPr>
      <w:r>
        <w:t xml:space="preserve">Existe-t-il une correspondance entre le couple (MatriculeSAL, SIRET) du portail RH et le code employé (CodeE) de l'ED ?</w:t>
      </w:r>
    </w:p>
    <w:p>
      <w:pPr>
        <w:pStyle w:val="ListParagraph"/>
        <w:numPr>
          <w:ilvl w:val="0"/>
          <w:numId w:val="2"/>
        </w:numPr>
        <w:spacing w:after="80"/>
      </w:pPr>
      <w:r>
        <w:t xml:space="preserve">Les salariés des sociétés allemandes ont-ils un profil de trajet attribué par MobiPass ?</w:t>
      </w:r>
    </w:p>
    <w:p>
      <w:pPr>
        <w:pStyle w:val="ListParagraph"/>
        <w:numPr>
          <w:ilvl w:val="0"/>
          <w:numId w:val="2"/>
        </w:numPr>
        <w:spacing w:after="80"/>
      </w:pPr>
      <w:r>
        <w:t xml:space="preserve">Les offres partenaires Alltricks entrent-elles dans le périmètre de ce prototype ?</w:t>
      </w:r>
    </w:p>
    <w:p>
      <w:pPr>
        <w:pStyle w:val="ListParagraph"/>
        <w:numPr>
          <w:ilvl w:val="0"/>
          <w:numId w:val="2"/>
        </w:numPr>
        <w:spacing w:after="80"/>
      </w:pPr>
      <w:r>
        <w:t xml:space="preserve">Les rapports B4.1 à B4.3 proposés correspondent-ils aux rapports les plus emblématiques attendus par les responsables des ventes ?</w:t>
      </w:r>
    </w:p>
    <w:p>
      <w:pPr>
        <w:pStyle w:val="Heading1"/>
        <w:pageBreakBefore/>
      </w:pPr>
      <w:r>
        <w:t xml:space="preserve">Architecture fonctionnelle du SAD</w:t>
      </w:r>
    </w:p>
    <w:p>
      <w:pPr>
        <w:pStyle w:val="Heading2"/>
      </w:pPr>
      <w:r>
        <w:t xml:space="preserve">Identification des magasins de données</w:t>
      </w:r>
    </w:p>
    <w:p>
      <w:pPr>
        <w:spacing w:after="120"/>
      </w:pPr>
      <w:r>
        <w:rPr>
          <w:rFonts w:ascii="Calibri" w:cs="Calibri" w:eastAsia="Calibri" w:hAnsi="Calibri"/>
          <w:sz w:val="21"/>
          <w:szCs w:val="21"/>
        </w:rPr>
        <w:t xml:space="preserve">Nous avons identifié les magasins en fonction des classes de décideurs : chacune a son propre sujet d'analyse (la location d'un côté, l'achat de l'autre), ses propres axes et ses propres contraintes de restitution. Nous retenons donc deux magasins. Les deux responsables des ventes partagent le même magasin : leurs besoins sont identiques, seul le périmètre géographique change, ce qui se traite par un filtrage par pays plutôt que par deux magasins identiques à maintenir.</w:t>
      </w:r>
    </w:p>
    <w:p>
      <w:pPr>
        <w:spacing w:after="120"/>
      </w:pPr>
      <w:r>
        <w:rPr>
          <w:rFonts w:ascii="Calibri" w:cs="Calibri" w:eastAsia="Calibri" w:hAnsi="Calibri"/>
          <w:b/>
          <w:bCs/>
          <w:color w:val="1F4E79"/>
          <w:sz w:val="21"/>
          <w:szCs w:val="21"/>
        </w:rPr>
        <w:t xml:space="preserve">Dictionnaire des magasins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400"/>
        <w:gridCol w:w="3300"/>
        <w:gridCol w:w="3700"/>
      </w:tblGrid>
      <w:tr>
        <w:trPr>
          <w:tblHeader/>
        </w:trPr>
        <w:tc>
          <w:tcPr>
            <w:tcW w:type="dxa" w:w="11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Identifiant</w:t>
            </w:r>
          </w:p>
        </w:tc>
        <w:tc>
          <w:tcPr>
            <w:tcW w:type="dxa" w:w="3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Description</w:t>
            </w:r>
          </w:p>
        </w:tc>
        <w:tc>
          <w:tcPr>
            <w:tcW w:type="dxa" w:w="2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Utilisateurs</w:t>
            </w:r>
          </w:p>
        </w:tc>
        <w:tc>
          <w:tcPr>
            <w:tcW w:type="dxa" w:w="33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Outils de stockage</w:t>
            </w:r>
          </w:p>
        </w:tc>
        <w:tc>
          <w:tcPr>
            <w:tcW w:type="dxa" w:w="3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Outils de restitution</w:t>
            </w:r>
          </w:p>
        </w:tc>
      </w:tr>
      <w:tr>
        <w:trPr>
          <w:cantSplit/>
        </w:trPr>
        <w:tc>
          <w:tcPr>
            <w:tcW w:type="dxa" w:w="11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 Locations</w:t>
            </w:r>
          </w:p>
        </w:tc>
        <w:tc>
          <w:tcPr>
            <w:tcW w:type="dxa" w:w="3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Permet de suivre l'activité de location (durées, montants au prix public et montants réellement payés) par exemplaire, employé, société et période, afin de mieux anticiper les périodes de tension sur le parc.</w:t>
            </w:r>
          </w:p>
        </w:tc>
        <w:tc>
          <w:tcPr>
            <w:tcW w:type="dxa" w:w="2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 des locations</w:t>
            </w:r>
          </w:p>
        </w:tc>
        <w:tc>
          <w:tcPr>
            <w:tcW w:type="dxa" w:w="3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Système R-OLAP sous Oracle 19c</w:t>
            </w:r>
          </w:p>
          <w:p>
            <w:pPr>
              <w:spacing w:after="0"/>
            </w:pPr>
            <w:r>
              <w:rPr>
                <w:rFonts w:ascii="Calibri" w:cs="Calibri" w:eastAsia="Calibri" w:hAnsi="Calibri"/>
                <w:sz w:val="18"/>
                <w:szCs w:val="18"/>
              </w:rPr>
              <w:t xml:space="preserve">Schéma en étoile (fait Louer)</w:t>
            </w:r>
          </w:p>
          <w:p>
            <w:pPr>
              <w:spacing w:after="0"/>
            </w:pPr>
            <w:r>
              <w:rPr>
                <w:rFonts w:ascii="Calibri" w:cs="Calibri" w:eastAsia="Calibri" w:hAnsi="Calibri"/>
                <w:sz w:val="18"/>
                <w:szCs w:val="18"/>
              </w:rPr>
              <w:t xml:space="preserve">Données agrégées : vues matérialisées par semaine et par mois</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Power BI (connexion DirectQuery)</w:t>
            </w:r>
          </w:p>
          <w:p>
            <w:pPr>
              <w:spacing w:after="0"/>
            </w:pPr>
            <w:r>
              <w:rPr>
                <w:rFonts w:ascii="Calibri" w:cs="Calibri" w:eastAsia="Calibri" w:hAnsi="Calibri"/>
                <w:sz w:val="18"/>
                <w:szCs w:val="18"/>
              </w:rPr>
              <w:t xml:space="preserve">Rapports prêts à l'emploi (B1)</w:t>
            </w:r>
          </w:p>
          <w:p>
            <w:pPr>
              <w:spacing w:after="0"/>
            </w:pPr>
            <w:r>
              <w:rPr>
                <w:rFonts w:ascii="Calibri" w:cs="Calibri" w:eastAsia="Calibri" w:hAnsi="Calibri"/>
                <w:sz w:val="18"/>
                <w:szCs w:val="18"/>
              </w:rPr>
              <w:t xml:space="preserve">Navigation OLAP : forage, filtres (B2)</w:t>
            </w:r>
          </w:p>
        </w:tc>
      </w:tr>
      <w:tr>
        <w:trPr>
          <w:cantSplit/>
        </w:trPr>
        <w:tc>
          <w:tcPr>
            <w:tcW w:type="dxa" w:w="11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MD2 Ventes</w:t>
            </w:r>
          </w:p>
        </w:tc>
        <w:tc>
          <w:tcPr>
            <w:tcW w:type="dxa" w:w="3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Permet de piloter les ventes à moyen et long terme (quantités, montants payés, bénéfices) par produit, employé, société et territoire, afin d'identifier les gammes les plus adaptées à chaque lieu.</w:t>
            </w:r>
          </w:p>
        </w:tc>
        <w:tc>
          <w:tcPr>
            <w:tcW w:type="dxa" w:w="2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Responsables des ventes</w:t>
            </w:r>
          </w:p>
          <w:p>
            <w:pPr>
              <w:spacing w:after="0"/>
            </w:pPr>
            <w:r>
              <w:rPr>
                <w:rFonts w:ascii="Calibri" w:cs="Calibri" w:eastAsia="Calibri" w:hAnsi="Calibri"/>
                <w:sz w:val="18"/>
                <w:szCs w:val="18"/>
              </w:rPr>
              <w:t xml:space="preserve">(Lyon : France ; Berlin : Allemagne)</w:t>
            </w:r>
          </w:p>
        </w:tc>
        <w:tc>
          <w:tcPr>
            <w:tcW w:type="dxa" w:w="3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Power BI, mode importation</w:t>
            </w:r>
          </w:p>
          <w:p>
            <w:pPr>
              <w:spacing w:after="0"/>
            </w:pPr>
            <w:r>
              <w:rPr>
                <w:rFonts w:ascii="Calibri" w:cs="Calibri" w:eastAsia="Calibri" w:hAnsi="Calibri"/>
                <w:sz w:val="18"/>
                <w:szCs w:val="18"/>
              </w:rPr>
              <w:t xml:space="preserve">Modèle en étoile (fait Acheter)</w:t>
            </w:r>
          </w:p>
          <w:p>
            <w:pPr>
              <w:spacing w:after="0"/>
            </w:pPr>
            <w:r>
              <w:rPr>
                <w:rFonts w:ascii="Calibri" w:cs="Calibri" w:eastAsia="Calibri" w:hAnsi="Calibri"/>
                <w:sz w:val="18"/>
                <w:szCs w:val="18"/>
              </w:rPr>
              <w:t xml:space="preserve">Données alimentées depuis l'ED</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Power BI</w:t>
            </w:r>
          </w:p>
          <w:p>
            <w:pPr>
              <w:spacing w:after="0"/>
            </w:pPr>
            <w:r>
              <w:rPr>
                <w:rFonts w:ascii="Calibri" w:cs="Calibri" w:eastAsia="Calibri" w:hAnsi="Calibri"/>
                <w:sz w:val="18"/>
                <w:szCs w:val="18"/>
              </w:rPr>
              <w:t xml:space="preserve">Tableaux de bord et rapports (B3, B4)</w:t>
            </w:r>
          </w:p>
          <w:p>
            <w:pPr>
              <w:spacing w:after="0"/>
            </w:pPr>
            <w:r>
              <w:rPr>
                <w:rFonts w:ascii="Calibri" w:cs="Calibri" w:eastAsia="Calibri" w:hAnsi="Calibri"/>
                <w:sz w:val="18"/>
                <w:szCs w:val="18"/>
              </w:rPr>
              <w:t xml:space="preserve">Sécurité au niveau des lignes par pays</w:t>
            </w:r>
          </w:p>
        </w:tc>
      </w:tr>
    </w:tbl>
    <w:p>
      <w:pPr>
        <w:spacing w:after="60"/>
      </w:pPr>
      <w:r>
        <w:rPr>
          <w:rFonts w:ascii="Calibri" w:cs="Calibri" w:eastAsia="Calibri" w:hAnsi="Calibri"/>
          <w:sz w:val="21"/>
          <w:szCs w:val="21"/>
        </w:rPr>
        <w:t xml:space="preserve"/>
      </w:r>
    </w:p>
    <w:p>
      <w:pPr>
        <w:spacing w:after="120"/>
      </w:pPr>
      <w:r>
        <w:rPr>
          <w:rFonts w:ascii="Calibri" w:cs="Calibri" w:eastAsia="Calibri" w:hAnsi="Calibri"/>
          <w:b/>
          <w:bCs/>
          <w:color w:val="1F4E79"/>
          <w:sz w:val="21"/>
          <w:szCs w:val="21"/>
        </w:rPr>
        <w:t xml:space="preserve">Correspondance entre besoins et magasins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gridCol w:w="4400"/>
      </w:tblGrid>
      <w:tr>
        <w:trPr>
          <w:tblHeader/>
        </w:trPr>
        <w:tc>
          <w:tcPr>
            <w:tcW w:type="dxa" w:w="2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Besoin</w:t>
            </w:r>
          </w:p>
        </w:tc>
        <w:tc>
          <w:tcPr>
            <w:tcW w:type="dxa" w:w="7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Restitutions</w:t>
            </w:r>
          </w:p>
        </w:tc>
        <w:tc>
          <w:tcPr>
            <w:tcW w:type="dxa" w:w="4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Magasin</w:t>
            </w:r>
          </w:p>
        </w:tc>
      </w:tr>
      <w:tr>
        <w:trPr>
          <w:cantSplit/>
        </w:trPr>
        <w:tc>
          <w:tcPr>
            <w:tcW w:type="dxa" w:w="24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B1</w:t>
            </w:r>
          </w:p>
        </w:tc>
        <w:tc>
          <w:tcPr>
            <w:tcW w:type="dxa" w:w="7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B1.1, B1.2, B1.3</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MD1 Locations</w:t>
            </w:r>
          </w:p>
        </w:tc>
      </w:tr>
      <w:tr>
        <w:trPr>
          <w:cantSplit/>
        </w:trPr>
        <w:tc>
          <w:tcPr>
            <w:tcW w:type="dxa" w:w="24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B2</w:t>
            </w:r>
          </w:p>
        </w:tc>
        <w:tc>
          <w:tcPr>
            <w:tcW w:type="dxa" w:w="7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B2.1, B2.2, B2.3</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MD1 Locations</w:t>
            </w:r>
          </w:p>
        </w:tc>
      </w:tr>
      <w:tr>
        <w:trPr>
          <w:cantSplit/>
        </w:trPr>
        <w:tc>
          <w:tcPr>
            <w:tcW w:type="dxa" w:w="24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B3</w:t>
            </w:r>
          </w:p>
        </w:tc>
        <w:tc>
          <w:tcPr>
            <w:tcW w:type="dxa" w:w="7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B3.1, B3.2, B3.3</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MD2 Ventes</w:t>
            </w:r>
          </w:p>
        </w:tc>
      </w:tr>
      <w:tr>
        <w:trPr>
          <w:cantSplit/>
        </w:trPr>
        <w:tc>
          <w:tcPr>
            <w:tcW w:type="dxa" w:w="24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B4</w:t>
            </w:r>
          </w:p>
        </w:tc>
        <w:tc>
          <w:tcPr>
            <w:tcW w:type="dxa" w:w="7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B4.1, B4.2, B4.3</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MD2 Ventes</w:t>
            </w:r>
          </w:p>
        </w:tc>
      </w:tr>
    </w:tbl>
    <w:p>
      <w:pPr>
        <w:spacing w:after="60"/>
      </w:pPr>
      <w:r>
        <w:rPr>
          <w:rFonts w:ascii="Calibri" w:cs="Calibri" w:eastAsia="Calibri" w:hAnsi="Calibri"/>
          <w:sz w:val="21"/>
          <w:szCs w:val="21"/>
        </w:rPr>
        <w:t xml:space="preserve"/>
      </w:r>
    </w:p>
    <w:p>
      <w:pPr>
        <w:spacing w:after="120"/>
      </w:pPr>
      <w:r>
        <w:rPr>
          <w:rFonts w:ascii="Calibri" w:cs="Calibri" w:eastAsia="Calibri" w:hAnsi="Calibri"/>
          <w:sz w:val="20"/>
          <w:szCs w:val="20"/>
        </w:rPr>
        <w:t xml:space="preserve">Justification des outils : le responsable des locations exige des temps de réponse extrêmement rapides sur des analyses quotidiennes ; nous stockons donc des agrégats précalculés dans Oracle, au plus près de l'ED. Pour les ventes, l'environnement n'est pas imposé : nous retenons Power BI, déjà utilisé et maintenu par le service informatique de WorldMobility, ce qui limite les coûts de formation et de maintenance.</w:t>
      </w:r>
    </w:p>
    <w:p>
      <w:pPr>
        <w:pStyle w:val="Heading2"/>
        <w:pageBreakBefore/>
      </w:pPr>
      <w:r>
        <w:t xml:space="preserve">Données sources</w:t>
      </w:r>
    </w:p>
    <w:p>
      <w:pPr>
        <w:spacing w:after="120"/>
      </w:pPr>
      <w:r>
        <w:rPr>
          <w:rFonts w:ascii="Calibri" w:cs="Calibri" w:eastAsia="Calibri" w:hAnsi="Calibri"/>
          <w:sz w:val="21"/>
          <w:szCs w:val="21"/>
        </w:rPr>
        <w:t xml:space="preserve">Nous recensons ci-dessous toutes les sources nécessaires aux deux magasins, avec pour chacune la page du sujet (Projet_IDA_26_27_MobiPassV2.pdf) où elle est décrite. S5 n'est pas listée telle quelle dans le sujet : nous l'avons déduite des besoins, car le ROME, la nomenclature INSEE et le découpage administratif allemand ne figurent dans aucune base de MobiPass. Les sources S2 à S5 sont nouvelles par rapport à la première version du SAD ; S6 correspond à l'ED actuel, dont nous reprenons l'historique. Chaque source a son schéma conceptuel dans le fichier MobiPass_Conception_complet.drawio : page « 2a » pour S2 et S3, page « 2b » pour S1, S4, S5 et S7, page « 2c » pour S6. Pour S1 et S4, dont le sujet ne détaille pas le contenu, le schéma traduit une hypothèse de travail soumise au client.</w:t>
      </w:r>
    </w:p>
    <w:p>
      <w:pPr>
        <w:spacing w:after="80"/>
      </w:pPr>
      <w:r>
        <w:rPr>
          <w:rFonts w:ascii="Calibri" w:cs="Calibri" w:eastAsia="Calibri" w:hAnsi="Calibri"/>
          <w:b/>
          <w:bCs/>
          <w:color w:val="1F4E79"/>
          <w:sz w:val="21"/>
          <w:szCs w:val="21"/>
        </w:rPr>
        <w:t xml:space="preserve">Généralités</w:t>
      </w:r>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100"/>
        <w:gridCol w:w="1700"/>
        <w:gridCol w:w="1700"/>
        <w:gridCol w:w="1500"/>
        <w:gridCol w:w="1600"/>
        <w:gridCol w:w="2100"/>
      </w:tblGrid>
      <w:tr>
        <w:trPr>
          <w:tblHeader/>
        </w:trPr>
        <w:tc>
          <w:tcPr>
            <w:tcW w:type="dxa" w:w="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Réf.</w:t>
            </w:r>
          </w:p>
        </w:tc>
        <w:tc>
          <w:tcPr>
            <w:tcW w:type="dxa" w:w="1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Source</w:t>
            </w:r>
          </w:p>
        </w:tc>
        <w:tc>
          <w:tcPr>
            <w:tcW w:type="dxa" w:w="31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Description</w:t>
            </w:r>
          </w:p>
        </w:tc>
        <w:tc>
          <w:tcPr>
            <w:tcW w:type="dxa" w:w="1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Propriétaire</w:t>
            </w:r>
          </w:p>
        </w:tc>
        <w:tc>
          <w:tcPr>
            <w:tcW w:type="dxa" w:w="1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Localisation</w:t>
            </w:r>
          </w:p>
        </w:tc>
        <w:tc>
          <w:tcPr>
            <w:tcW w:type="dxa" w:w="15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Type</w:t>
            </w:r>
          </w:p>
        </w:tc>
        <w:tc>
          <w:tcPr>
            <w:tcW w:type="dxa" w:w="1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Support / fréquence</w:t>
            </w:r>
          </w:p>
        </w:tc>
        <w:tc>
          <w:tcPr>
            <w:tcW w:type="dxa" w:w="21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Référence dans le sujet</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S1</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ERP SAP WorldMobility</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Données transactionnelles des achats, réservations et locations des salariés.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WorldMobility (groupe)</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Serveurs du groupe</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BD relationnelle (ERP)</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Extraction · quotidienne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p. 2 (Le système décisionnel en place)</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S2</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BD de production MobiPass : catalogue et parc</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Produits, générations, fabricants, agences, exemplaires et tarifs par pays et par période.</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MobiPass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Serveur MobiPass, Lyon</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BD Oracle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Accès direct · quotidienne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p. 2 et p. 6 (Le système de gestion du catalogue et du parc)</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S3</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Portail RH des sociétés clientes françaises</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Salariés inscrits par les services RH, avec leur dernier métier (codification ROME).</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Service informatique WorldMobility</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Portail Web</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BD relationnelle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Extraction · mensuelle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p. 5 et 6 (Le portail RH des sociétés clientes)</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S4</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Fichiers salariés des sociétés allemandes</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Liste des salariés transmise par les sociétés allemandes, sans indication de métier.</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MobiPass Deutschland GmbH</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Berlin</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Fichiers (CSV / Excel)</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Dépôt de fichier · à chaque envoi</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p. 4 (Retour d'expérience) et p. 6 (dernier point du portail RH)</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S5</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Référentiels externes</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ROME (4 niveaux), type d'entreprise et catégories juridiques INSEE (3 niveaux), découpage administratif de l'Allemagne.</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France Travail, INSEE, sources publiques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Sites Web (open data)</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Fichiers (CSV / Excel)</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Téléchargement · ponctuel</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Déduction à partir des besoins : ROME p. 5, INSEE p. 6, Allemagne p. 6 et 7 (figure 2)</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S6</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Entrepôt de données actuel (V1)</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Historique des achats, réservations et locations des salariés des sociétés françaises.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MobiPass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Serveur MobiPass, Lyon</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BD Oracle 19c</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Reprise initiale · une fois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p. 2 à 4 (figure 1, schéma relationnel) et annexes 1 à 3 p. 8 à 10</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S7</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color w:val="808080"/>
                <w:sz w:val="18"/>
                <w:szCs w:val="18"/>
              </w:rPr>
              <w:t xml:space="preserve">Offres partenaires Alltricks</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color w:val="808080"/>
                <w:sz w:val="18"/>
                <w:szCs w:val="18"/>
              </w:rPr>
              <w:t xml:space="preserve">Réduction de 20 % sur les pièces détachées et accessoires.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color w:val="808080"/>
                <w:sz w:val="18"/>
                <w:szCs w:val="18"/>
              </w:rPr>
              <w:t xml:space="preserve">Alltricks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color w:val="808080"/>
                <w:sz w:val="18"/>
                <w:szCs w:val="18"/>
              </w:rPr>
              <w:t xml:space="preserve">Site Web</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color w:val="808080"/>
                <w:sz w:val="18"/>
                <w:szCs w:val="18"/>
              </w:rPr>
              <w:t xml:space="preserve">Catalogue Web</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color w:val="808080"/>
                <w:sz w:val="18"/>
                <w:szCs w:val="18"/>
              </w:rPr>
              <w:t xml:space="preserve">Hors périmètre du POC</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color w:val="808080"/>
                <w:sz w:val="18"/>
                <w:szCs w:val="18"/>
              </w:rPr>
              <w:t xml:space="preserve">p. 7 (Les offres partenaires)</w:t>
            </w:r>
          </w:p>
        </w:tc>
      </w:tr>
    </w:tbl>
    <w:p>
      <w:pPr>
        <w:spacing w:after="60"/>
      </w:pPr>
      <w:r>
        <w:rPr>
          <w:rFonts w:ascii="Calibri" w:cs="Calibri" w:eastAsia="Calibri" w:hAnsi="Calibri"/>
          <w:sz w:val="21"/>
          <w:szCs w:val="21"/>
        </w:rPr>
        <w:t xml:space="preserve"/>
      </w:r>
    </w:p>
    <w:p>
      <w:pPr>
        <w:spacing w:after="80"/>
      </w:pPr>
      <w:r>
        <w:rPr>
          <w:rFonts w:ascii="Calibri" w:cs="Calibri" w:eastAsia="Calibri" w:hAnsi="Calibri"/>
          <w:b/>
          <w:bCs/>
          <w:color w:val="1F4E79"/>
          <w:sz w:val="21"/>
          <w:szCs w:val="21"/>
        </w:rPr>
        <w:t xml:space="preserve">S1 : ERP SAP WorldMobility (hypothèse de travail)</w:t>
      </w:r>
    </w:p>
    <w:p>
      <w:pPr>
        <w:spacing w:after="120"/>
      </w:pPr>
      <w:r>
        <w:rPr>
          <w:rFonts w:ascii="Calibri" w:cs="Calibri" w:eastAsia="Calibri" w:hAnsi="Calibri"/>
          <w:sz w:val="20"/>
          <w:szCs w:val="20"/>
        </w:rPr>
        <w:t xml:space="preserve">Le sujet (p. 2) indique seulement que l'ED actuel est alimenté par des extractions de l'ERP SAP. Nous supposons que l'ERP fournit les mêmes données d'activité que l'ED V1 : achats (quantité), réservations (nombre d'exemplaires, date de réservation, durée prévue) et locations (durée), rattachés à un employé, un produit ou un exemplaire et une date. Hypothèse soumise au client (question 1).</w:t>
      </w:r>
    </w:p>
    <w:p>
      <w:pPr>
        <w:spacing w:after="80"/>
      </w:pPr>
      <w:r>
        <w:rPr>
          <w:rFonts w:ascii="Calibri" w:cs="Calibri" w:eastAsia="Calibri" w:hAnsi="Calibri"/>
          <w:b/>
          <w:bCs/>
          <w:color w:val="1F4E79"/>
          <w:sz w:val="21"/>
          <w:szCs w:val="21"/>
        </w:rPr>
        <w:t xml:space="preserve">S2 : BD de production MobiPass (catalogue et parc)</w:t>
      </w:r>
    </w:p>
    <w:p>
      <w:pPr>
        <w:pStyle w:val="ListParagraph"/>
        <w:numPr>
          <w:ilvl w:val="0"/>
          <w:numId w:val="2"/>
        </w:numPr>
        <w:spacing w:after="40"/>
      </w:pPr>
      <w:r>
        <w:rPr>
          <w:b/>
          <w:bCs/>
          <w:sz w:val="20"/>
          <w:szCs w:val="20"/>
        </w:rPr>
        <w:t xml:space="preserve">Produit</w:t>
      </w:r>
      <w:r>
        <w:rPr>
          <w:sz w:val="20"/>
          <w:szCs w:val="20"/>
        </w:rPr>
        <w:t xml:space="preserve">(CodeP, NomP, DescriptifP, PoidsKg, AutonomieKm, CodeGEN#)</w:t>
      </w:r>
    </w:p>
    <w:p>
      <w:pPr>
        <w:pStyle w:val="ListParagraph"/>
        <w:numPr>
          <w:ilvl w:val="0"/>
          <w:numId w:val="2"/>
        </w:numPr>
        <w:spacing w:after="40"/>
      </w:pPr>
      <w:r>
        <w:rPr>
          <w:b/>
          <w:bCs/>
          <w:sz w:val="20"/>
          <w:szCs w:val="20"/>
        </w:rPr>
        <w:t xml:space="preserve">Generation</w:t>
      </w:r>
      <w:r>
        <w:rPr>
          <w:sz w:val="20"/>
          <w:szCs w:val="20"/>
        </w:rPr>
        <w:t xml:space="preserve">(CodeGEN, NomGEN, DateSortieGEN, DateArretGEN, CodeFAB#)</w:t>
      </w:r>
    </w:p>
    <w:p>
      <w:pPr>
        <w:pStyle w:val="ListParagraph"/>
        <w:numPr>
          <w:ilvl w:val="0"/>
          <w:numId w:val="2"/>
        </w:numPr>
        <w:spacing w:after="40"/>
      </w:pPr>
      <w:r>
        <w:rPr>
          <w:b/>
          <w:bCs/>
          <w:sz w:val="20"/>
          <w:szCs w:val="20"/>
        </w:rPr>
        <w:t xml:space="preserve">Fabricant</w:t>
      </w:r>
      <w:r>
        <w:rPr>
          <w:sz w:val="20"/>
          <w:szCs w:val="20"/>
        </w:rPr>
        <w:t xml:space="preserve">(CodeFAB, NomFAB, PaysFAB)</w:t>
      </w:r>
    </w:p>
    <w:p>
      <w:pPr>
        <w:pStyle w:val="ListParagraph"/>
        <w:numPr>
          <w:ilvl w:val="0"/>
          <w:numId w:val="2"/>
        </w:numPr>
        <w:spacing w:after="40"/>
      </w:pPr>
      <w:r>
        <w:rPr>
          <w:b/>
          <w:bCs/>
          <w:sz w:val="20"/>
          <w:szCs w:val="20"/>
        </w:rPr>
        <w:t xml:space="preserve">Agence</w:t>
      </w:r>
      <w:r>
        <w:rPr>
          <w:sz w:val="20"/>
          <w:szCs w:val="20"/>
        </w:rPr>
        <w:t xml:space="preserve">(CodeAG, NomAG, VilleAG, PaysAG)</w:t>
      </w:r>
    </w:p>
    <w:p>
      <w:pPr>
        <w:pStyle w:val="ListParagraph"/>
        <w:numPr>
          <w:ilvl w:val="0"/>
          <w:numId w:val="2"/>
        </w:numPr>
        <w:spacing w:after="40"/>
      </w:pPr>
      <w:r>
        <w:rPr>
          <w:b/>
          <w:bCs/>
          <w:sz w:val="20"/>
          <w:szCs w:val="20"/>
        </w:rPr>
        <w:t xml:space="preserve">Exemplaire</w:t>
      </w:r>
      <w:r>
        <w:rPr>
          <w:sz w:val="20"/>
          <w:szCs w:val="20"/>
        </w:rPr>
        <w:t xml:space="preserve">(CodeEX, NumSerieEX, DateMiseServiceEX, DateReformeEX, CodeP#, CodeAG#)</w:t>
      </w:r>
    </w:p>
    <w:p>
      <w:pPr>
        <w:pStyle w:val="ListParagraph"/>
        <w:numPr>
          <w:ilvl w:val="0"/>
          <w:numId w:val="2"/>
        </w:numPr>
        <w:spacing w:after="40"/>
      </w:pPr>
      <w:r>
        <w:rPr>
          <w:b/>
          <w:bCs/>
          <w:sz w:val="20"/>
          <w:szCs w:val="20"/>
        </w:rPr>
        <w:t xml:space="preserve">Tarif</w:t>
      </w:r>
      <w:r>
        <w:rPr>
          <w:sz w:val="20"/>
          <w:szCs w:val="20"/>
        </w:rPr>
        <w:t xml:space="preserve">(CodeP#, PaysTarif, DateDebutTarif, DateFinTarif, Prix_loc_jour, Prix_vente, ModePrix)</w:t>
      </w:r>
    </w:p>
    <w:p>
      <w:pPr>
        <w:spacing w:after="40"/>
      </w:pPr>
      <w:r>
        <w:rPr>
          <w:rFonts w:ascii="Calibri" w:cs="Calibri" w:eastAsia="Calibri" w:hAnsi="Calibri"/>
          <w:b/>
          <w:bCs/>
          <w:sz w:val="20"/>
          <w:szCs w:val="20"/>
        </w:rPr>
        <w:t xml:space="preserve">Règles de gestion :</w:t>
      </w:r>
    </w:p>
    <w:p>
      <w:pPr>
        <w:pStyle w:val="ListParagraph"/>
        <w:numPr>
          <w:ilvl w:val="0"/>
          <w:numId w:val="2"/>
        </w:numPr>
        <w:spacing w:after="60"/>
      </w:pPr>
      <w:r>
        <w:rPr>
          <w:sz w:val="20"/>
          <w:szCs w:val="20"/>
        </w:rPr>
        <w:t xml:space="preserve">RG1 : un produit appartient à une seule génération ; une génération est conçue par un seul fabricant.</w:t>
      </w:r>
    </w:p>
    <w:p>
      <w:pPr>
        <w:pStyle w:val="ListParagraph"/>
        <w:numPr>
          <w:ilvl w:val="0"/>
          <w:numId w:val="2"/>
        </w:numPr>
        <w:spacing w:after="60"/>
      </w:pPr>
      <w:r>
        <w:rPr>
          <w:sz w:val="20"/>
          <w:szCs w:val="20"/>
        </w:rPr>
        <w:t xml:space="preserve">RG2 : le nom du fabricant ne correspond pas toujours à la marque (MarqueP) saisie dans l'ED : les deux informations sont conservées.</w:t>
      </w:r>
    </w:p>
    <w:p>
      <w:pPr>
        <w:pStyle w:val="ListParagraph"/>
        <w:numPr>
          <w:ilvl w:val="0"/>
          <w:numId w:val="2"/>
        </w:numPr>
        <w:spacing w:after="60"/>
      </w:pPr>
      <w:r>
        <w:rPr>
          <w:sz w:val="20"/>
          <w:szCs w:val="20"/>
        </w:rPr>
        <w:t xml:space="preserve">RG3 : un exemplaire est rattaché à un seul produit et à une seule agence ; sa date de réforme est vide tant qu'il est en service.</w:t>
      </w:r>
    </w:p>
    <w:p>
      <w:pPr>
        <w:pStyle w:val="ListParagraph"/>
        <w:numPr>
          <w:ilvl w:val="0"/>
          <w:numId w:val="2"/>
        </w:numPr>
        <w:spacing w:after="60"/>
      </w:pPr>
      <w:r>
        <w:rPr>
          <w:sz w:val="20"/>
          <w:szCs w:val="20"/>
        </w:rPr>
        <w:t xml:space="preserve">RG4 : un tarif est propre à un produit, un pays et une période [DateDebutTarif ; DateFinTarif]. Le tarif applicable à une opération est celui valable à sa date.</w:t>
      </w:r>
    </w:p>
    <w:p>
      <w:pPr>
        <w:pStyle w:val="ListParagraph"/>
        <w:numPr>
          <w:ilvl w:val="0"/>
          <w:numId w:val="2"/>
        </w:numPr>
        <w:spacing w:after="60"/>
      </w:pPr>
      <w:r>
        <w:rPr>
          <w:sz w:val="20"/>
          <w:szCs w:val="20"/>
        </w:rPr>
        <w:t xml:space="preserve">RG5 : les tarifs français sont exprimés TTC (TVA 20 %), les tarifs allemands HT (TVA 19 %) ; ModePrix vaut « TTC » ou « HT ».</w:t>
      </w:r>
    </w:p>
    <w:p>
      <w:pPr>
        <w:spacing w:after="80"/>
      </w:pPr>
      <w:r>
        <w:rPr>
          <w:rFonts w:ascii="Calibri" w:cs="Calibri" w:eastAsia="Calibri" w:hAnsi="Calibri"/>
          <w:b/>
          <w:bCs/>
          <w:color w:val="1F4E79"/>
          <w:sz w:val="21"/>
          <w:szCs w:val="21"/>
        </w:rPr>
        <w:t xml:space="preserve">S3 : Portail RH des sociétés clientes françaises</w:t>
      </w:r>
    </w:p>
    <w:p>
      <w:pPr>
        <w:pStyle w:val="ListParagraph"/>
        <w:numPr>
          <w:ilvl w:val="0"/>
          <w:numId w:val="2"/>
        </w:numPr>
        <w:spacing w:after="40"/>
      </w:pPr>
      <w:r>
        <w:rPr>
          <w:b/>
          <w:bCs/>
          <w:sz w:val="20"/>
          <w:szCs w:val="20"/>
        </w:rPr>
        <w:t xml:space="preserve">Salarie</w:t>
      </w:r>
      <w:r>
        <w:rPr>
          <w:sz w:val="20"/>
          <w:szCs w:val="20"/>
        </w:rPr>
        <w:t xml:space="preserve">(MatriculeSAL, SIRET#, NomSAL, PrenomSAL, DateNaissSAL, DateEntreeSAL, TypeContratSAL, CPResidenceSAL, LibelleServiceSAL, CodeAPP#)</w:t>
      </w:r>
    </w:p>
    <w:p>
      <w:pPr>
        <w:pStyle w:val="ListParagraph"/>
        <w:numPr>
          <w:ilvl w:val="0"/>
          <w:numId w:val="2"/>
        </w:numPr>
        <w:spacing w:after="40"/>
      </w:pPr>
      <w:r>
        <w:rPr>
          <w:b/>
          <w:bCs/>
          <w:sz w:val="20"/>
          <w:szCs w:val="20"/>
        </w:rPr>
        <w:t xml:space="preserve">Appellation</w:t>
      </w:r>
      <w:r>
        <w:rPr>
          <w:sz w:val="20"/>
          <w:szCs w:val="20"/>
        </w:rPr>
        <w:t xml:space="preserve">(CodeAPP, LibelleAPP, CodeROME#)</w:t>
      </w:r>
    </w:p>
    <w:p>
      <w:pPr>
        <w:pStyle w:val="ListParagraph"/>
        <w:numPr>
          <w:ilvl w:val="0"/>
          <w:numId w:val="2"/>
        </w:numPr>
        <w:spacing w:after="40"/>
      </w:pPr>
      <w:r>
        <w:rPr>
          <w:b/>
          <w:bCs/>
          <w:sz w:val="20"/>
          <w:szCs w:val="20"/>
        </w:rPr>
        <w:t xml:space="preserve">FicheMetier</w:t>
      </w:r>
      <w:r>
        <w:rPr>
          <w:sz w:val="20"/>
          <w:szCs w:val="20"/>
        </w:rPr>
        <w:t xml:space="preserve">(CodeROME, LibelleMetier, CodeDP#)</w:t>
      </w:r>
    </w:p>
    <w:p>
      <w:pPr>
        <w:pStyle w:val="ListParagraph"/>
        <w:numPr>
          <w:ilvl w:val="0"/>
          <w:numId w:val="2"/>
        </w:numPr>
        <w:spacing w:after="40"/>
      </w:pPr>
      <w:r>
        <w:rPr>
          <w:b/>
          <w:bCs/>
          <w:sz w:val="20"/>
          <w:szCs w:val="20"/>
        </w:rPr>
        <w:t xml:space="preserve">DomainePro</w:t>
      </w:r>
      <w:r>
        <w:rPr>
          <w:sz w:val="20"/>
          <w:szCs w:val="20"/>
        </w:rPr>
        <w:t xml:space="preserve">(CodeDP, LibelleDP, CodeGD#)</w:t>
      </w:r>
    </w:p>
    <w:p>
      <w:pPr>
        <w:pStyle w:val="ListParagraph"/>
        <w:numPr>
          <w:ilvl w:val="0"/>
          <w:numId w:val="2"/>
        </w:numPr>
        <w:spacing w:after="40"/>
      </w:pPr>
      <w:r>
        <w:rPr>
          <w:b/>
          <w:bCs/>
          <w:sz w:val="20"/>
          <w:szCs w:val="20"/>
        </w:rPr>
        <w:t xml:space="preserve">GrandDomaine</w:t>
      </w:r>
      <w:r>
        <w:rPr>
          <w:sz w:val="20"/>
          <w:szCs w:val="20"/>
        </w:rPr>
        <w:t xml:space="preserve">(CodeGD, LibelleGD)</w:t>
      </w:r>
    </w:p>
    <w:p>
      <w:pPr>
        <w:spacing w:after="40"/>
      </w:pPr>
      <w:r>
        <w:rPr>
          <w:rFonts w:ascii="Calibri" w:cs="Calibri" w:eastAsia="Calibri" w:hAnsi="Calibri"/>
          <w:b/>
          <w:bCs/>
          <w:sz w:val="20"/>
          <w:szCs w:val="20"/>
        </w:rPr>
        <w:t xml:space="preserve">Règles de gestion :</w:t>
      </w:r>
    </w:p>
    <w:p>
      <w:pPr>
        <w:pStyle w:val="ListParagraph"/>
        <w:numPr>
          <w:ilvl w:val="0"/>
          <w:numId w:val="2"/>
        </w:numPr>
        <w:spacing w:after="60"/>
      </w:pPr>
      <w:r>
        <w:rPr>
          <w:sz w:val="20"/>
          <w:szCs w:val="20"/>
        </w:rPr>
        <w:t xml:space="preserve">RG6 : le matricule n'est unique qu'au sein d'une société (clé composée MatriculeSAL, SIRET) et n'a aucun lien avec le code employé (CodeE) de l'ED : une table de correspondance est nécessaire.</w:t>
      </w:r>
    </w:p>
    <w:p>
      <w:pPr>
        <w:pStyle w:val="ListParagraph"/>
        <w:numPr>
          <w:ilvl w:val="0"/>
          <w:numId w:val="2"/>
        </w:numPr>
        <w:spacing w:after="60"/>
      </w:pPr>
      <w:r>
        <w:rPr>
          <w:sz w:val="20"/>
          <w:szCs w:val="20"/>
        </w:rPr>
        <w:t xml:space="preserve">RG7 : le libellé du service est saisi librement et ne respecte pas toujours les noms de services de l'ED : un rapprochement (nettoyage) est nécessaire.</w:t>
      </w:r>
    </w:p>
    <w:p>
      <w:pPr>
        <w:pStyle w:val="ListParagraph"/>
        <w:numPr>
          <w:ilvl w:val="0"/>
          <w:numId w:val="2"/>
        </w:numPr>
        <w:spacing w:after="60"/>
      </w:pPr>
      <w:r>
        <w:rPr>
          <w:sz w:val="20"/>
          <w:szCs w:val="20"/>
        </w:rPr>
        <w:t xml:space="preserve">RG8 : le ROME comporte 4 niveaux imbriqués : appellation → fiche métier → domaine professionnel → grand domaine.</w:t>
      </w:r>
    </w:p>
    <w:p>
      <w:pPr>
        <w:pStyle w:val="ListParagraph"/>
        <w:numPr>
          <w:ilvl w:val="0"/>
          <w:numId w:val="2"/>
        </w:numPr>
        <w:spacing w:after="60"/>
      </w:pPr>
      <w:r>
        <w:rPr>
          <w:sz w:val="20"/>
          <w:szCs w:val="20"/>
        </w:rPr>
        <w:t xml:space="preserve">RG9 : la BD ne conserve que le dernier métier ; l'ED, alimenté une fois par mois, doit historiser les métiers successifs de chaque salarié.</w:t>
      </w:r>
    </w:p>
    <w:p>
      <w:pPr>
        <w:pStyle w:val="ListParagraph"/>
        <w:numPr>
          <w:ilvl w:val="0"/>
          <w:numId w:val="2"/>
        </w:numPr>
        <w:spacing w:after="60"/>
      </w:pPr>
      <w:r>
        <w:rPr>
          <w:sz w:val="20"/>
          <w:szCs w:val="20"/>
        </w:rPr>
        <w:t xml:space="preserve">RG10 : le portail ne concerne que les sociétés françaises.</w:t>
      </w:r>
    </w:p>
    <w:p>
      <w:pPr>
        <w:spacing w:after="80"/>
      </w:pPr>
      <w:r>
        <w:rPr>
          <w:rFonts w:ascii="Calibri" w:cs="Calibri" w:eastAsia="Calibri" w:hAnsi="Calibri"/>
          <w:b/>
          <w:bCs/>
          <w:color w:val="1F4E79"/>
          <w:sz w:val="21"/>
          <w:szCs w:val="21"/>
        </w:rPr>
        <w:t xml:space="preserve">S4 : Fichiers salariés des sociétés allemandes</w:t>
      </w:r>
    </w:p>
    <w:p>
      <w:pPr>
        <w:spacing w:after="120"/>
      </w:pPr>
      <w:r>
        <w:rPr>
          <w:rFonts w:ascii="Calibri" w:cs="Calibri" w:eastAsia="Calibri" w:hAnsi="Calibri"/>
          <w:sz w:val="20"/>
          <w:szCs w:val="20"/>
        </w:rPr>
        <w:t xml:space="preserve">Hypothèse de travail (question 2 au client) : chaque fichier contient un identifiant de salarié propre au fichier, son nom, son prénom, sa société et la ville de la société.</w:t>
      </w:r>
    </w:p>
    <w:p>
      <w:pPr>
        <w:pStyle w:val="ListParagraph"/>
        <w:numPr>
          <w:ilvl w:val="0"/>
          <w:numId w:val="2"/>
        </w:numPr>
        <w:spacing w:after="60"/>
      </w:pPr>
      <w:r>
        <w:rPr>
          <w:sz w:val="20"/>
          <w:szCs w:val="20"/>
        </w:rPr>
        <w:t xml:space="preserve">RG11 : les fichiers contiennent l'identité des salariés et leur société, sans indication de métier : la dimension métier sera « non renseigné » pour ces salariés.</w:t>
      </w:r>
    </w:p>
    <w:p>
      <w:pPr>
        <w:spacing w:after="80"/>
      </w:pPr>
      <w:r>
        <w:rPr>
          <w:rFonts w:ascii="Calibri" w:cs="Calibri" w:eastAsia="Calibri" w:hAnsi="Calibri"/>
          <w:b/>
          <w:bCs/>
          <w:color w:val="1F4E79"/>
          <w:sz w:val="21"/>
          <w:szCs w:val="21"/>
        </w:rPr>
        <w:t xml:space="preserve">S5 : Référentiels externes</w:t>
      </w:r>
    </w:p>
    <w:p>
      <w:pPr>
        <w:pStyle w:val="ListParagraph"/>
        <w:numPr>
          <w:ilvl w:val="0"/>
          <w:numId w:val="2"/>
        </w:numPr>
        <w:spacing w:after="60"/>
      </w:pPr>
      <w:r>
        <w:rPr>
          <w:sz w:val="20"/>
          <w:szCs w:val="20"/>
        </w:rPr>
        <w:t xml:space="preserve">RG12 : chaque société française possède un type (microentreprise, PME, ETI, grande entreprise) et une catégorie juridique définie sur 3 niveaux (fichier Excel de l'INSEE).</w:t>
      </w:r>
    </w:p>
    <w:p>
      <w:pPr>
        <w:pStyle w:val="ListParagraph"/>
        <w:numPr>
          <w:ilvl w:val="0"/>
          <w:numId w:val="2"/>
        </w:numPr>
        <w:spacing w:after="60"/>
      </w:pPr>
      <w:r>
        <w:rPr>
          <w:sz w:val="20"/>
          <w:szCs w:val="20"/>
        </w:rPr>
        <w:t xml:space="preserve">RG13 : pour les sociétés allemandes, seule la ville est connue. Le découpage administratif est : Land → district (Regierungsbezirk, absent dans 9 Länder) → arrondissement (Landkreis ou kreisfreie Stadt) → commune (Gemeinde). Les 3 villes-États (Berlin, Hambourg, Brême) n'ont ni district ni arrondissement.</w:t>
      </w:r>
    </w:p>
    <w:p>
      <w:pPr>
        <w:spacing w:after="80"/>
      </w:pPr>
      <w:r>
        <w:rPr>
          <w:rFonts w:ascii="Calibri" w:cs="Calibri" w:eastAsia="Calibri" w:hAnsi="Calibri"/>
          <w:b/>
          <w:bCs/>
          <w:color w:val="1F4E79"/>
          <w:sz w:val="21"/>
          <w:szCs w:val="21"/>
        </w:rPr>
        <w:t xml:space="preserve">S6 : Entrepôt de données actuel (V1)</w:t>
      </w:r>
    </w:p>
    <w:p>
      <w:pPr>
        <w:spacing w:after="120"/>
      </w:pPr>
      <w:r>
        <w:rPr>
          <w:rFonts w:ascii="Calibri" w:cs="Calibri" w:eastAsia="Calibri" w:hAnsi="Calibri"/>
          <w:sz w:val="20"/>
          <w:szCs w:val="20"/>
        </w:rPr>
        <w:t xml:space="preserve">Schéma conceptuel et relationnel fournis par le sujet (figure 1 p. 3, schéma relationnel p. 3-4, dictionnaire en annexe 1). Il est reproduit page « 2c » du draw.io et sert de point de départ à l'ED V2.</w:t>
      </w:r>
    </w:p>
    <w:p>
      <w:pPr>
        <w:spacing w:after="80"/>
      </w:pPr>
      <w:r>
        <w:rPr>
          <w:rFonts w:ascii="Calibri" w:cs="Calibri" w:eastAsia="Calibri" w:hAnsi="Calibri"/>
          <w:b/>
          <w:bCs/>
          <w:color w:val="1F4E79"/>
          <w:sz w:val="21"/>
          <w:szCs w:val="21"/>
        </w:rPr>
        <w:t xml:space="preserve">S7 : Offres partenaires Alltricks</w:t>
      </w:r>
    </w:p>
    <w:p>
      <w:pPr>
        <w:spacing w:after="120"/>
      </w:pPr>
      <w:r>
        <w:rPr>
          <w:rFonts w:ascii="Calibri" w:cs="Calibri" w:eastAsia="Calibri" w:hAnsi="Calibri"/>
          <w:sz w:val="20"/>
          <w:szCs w:val="20"/>
        </w:rPr>
        <w:t xml:space="preserve">Modélisation indicative (page « 2b ») : un partenaire propose des articles (pièces détachées et accessoires) avec une remise de 20 %. Source hors périmètre du prototype (question 7 au client).</w:t>
      </w:r>
    </w:p>
    <w:p>
      <w:pPr>
        <w:spacing w:after="80"/>
      </w:pPr>
      <w:r>
        <w:rPr>
          <w:rFonts w:ascii="Calibri" w:cs="Calibri" w:eastAsia="Calibri" w:hAnsi="Calibri"/>
          <w:b/>
          <w:bCs/>
          <w:color w:val="1F4E79"/>
          <w:sz w:val="21"/>
          <w:szCs w:val="21"/>
        </w:rPr>
        <w:t xml:space="preserve">Dictionnaire des nouvelles données (extrait)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gridCol w:w="1600"/>
        <w:gridCol w:w="3800"/>
      </w:tblGrid>
      <w:tr>
        <w:trPr>
          <w:tblHeader/>
        </w:trPr>
        <w:tc>
          <w:tcPr>
            <w:tcW w:type="dxa" w:w="2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Nom du champ</w:t>
            </w:r>
          </w:p>
        </w:tc>
        <w:tc>
          <w:tcPr>
            <w:tcW w:type="dxa" w:w="6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Description</w:t>
            </w:r>
          </w:p>
        </w:tc>
        <w:tc>
          <w:tcPr>
            <w:tcW w:type="dxa" w:w="1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Type</w:t>
            </w:r>
          </w:p>
        </w:tc>
        <w:tc>
          <w:tcPr>
            <w:tcW w:type="dxa" w:w="38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Contrainte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CodeGEN / NomGEN</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 et nom d'une génération de produit</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CC(10) / CC(50)</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DateSortieGEN / DateArretGEN</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Dates de sortie et d'arrêt de commercialisation d'une génération</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DateArretGEN &gt; DateSortieGEN</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CodeFAB / NomFAB / PaysFAB</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Fabricant d'une génération</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CC(10) / CC(50) / CC(50)</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CodeAG / NomAG / VilleAG / PaysAG</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Agence de rattachement d'un exemplaire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CC(10) / CC(50)</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PaysAG ∈ {France, Allemagne}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DateMiseServiceEX / DateReformeEX</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Dates de mise en service et de réforme d'un exemplaire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DateReformeEX &gt; DateMiseServiceEX ou vide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PaysTarif</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Pays d'application d'un tarif</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CC(2)</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{FR, DE}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DateDebutTarif / DateFinTarif</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Période de validité d'un tarif</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DateFinTarif &gt; DateDebutTarif ou vide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ModePrix</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Mode d'expression du prix</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CC(3)</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{HT, TTC}</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MatriculeSAL / SIRET</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Matricule SIRH d'un salarié, unique dans sa société</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CC(20) / CC(14)</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Clé composée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TypeContratSAL</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Type de contrat d'un salarié</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CC(20)</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 CDI, CDD, alternance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CodeAPP / CodeROME / CodeDP / CodeGD</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Codes des 4 niveaux du ROME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CC(6) / CC(5) / CC(3) / CC(1)</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 M1805 / M18 / M</w:t>
            </w:r>
          </w:p>
        </w:tc>
      </w:tr>
    </w:tbl>
    <w:p>
      <w:pPr>
        <w:pStyle w:val="Heading2"/>
        <w:pageBreakBefore/>
      </w:pPr>
      <w:r>
        <w:t xml:space="preserve">Architecture globale du SAD</w:t>
      </w:r>
    </w:p>
    <w:p>
      <w:pPr>
        <w:spacing w:after="80"/>
      </w:pPr>
      <w:r>
        <w:rPr>
          <w:rFonts w:ascii="Calibri" w:cs="Calibri" w:eastAsia="Calibri" w:hAnsi="Calibri"/>
          <w:b/>
          <w:bCs/>
          <w:color w:val="1F4E79"/>
          <w:sz w:val="21"/>
          <w:szCs w:val="21"/>
        </w:rPr>
        <w:t xml:space="preserve">Tableau de correspondance sources / magasins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gridCol w:w="1400"/>
        <w:gridCol w:w="1400"/>
        <w:gridCol w:w="1400"/>
      </w:tblGrid>
      <w:tr>
        <w:trPr>
          <w:tblHeader/>
        </w:trPr>
        <w:tc>
          <w:tcPr>
            <w:tcW w:type="dxa" w:w="2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Magasin</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S1 ERP</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S2 Catalogue</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S3 Portail RH</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S4 Fichiers DE</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S5 Référentiels</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S6 ED V1</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S7 Alltricks</w:t>
            </w:r>
          </w:p>
        </w:tc>
      </w:tr>
      <w:tr>
        <w:trPr>
          <w:cantSplit/>
        </w:trPr>
        <w:tc>
          <w:tcPr>
            <w:tcW w:type="dxa" w:w="2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MD1 Locations</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X (géo DE)</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
            </w:r>
          </w:p>
        </w:tc>
      </w:tr>
      <w:tr>
        <w:trPr>
          <w:cantSplit/>
        </w:trPr>
        <w:tc>
          <w:tcPr>
            <w:tcW w:type="dxa" w:w="2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MD2 Ventes</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
            </w:r>
          </w:p>
        </w:tc>
      </w:tr>
      <w:tr>
        <w:trPr>
          <w:cantSplit/>
        </w:trPr>
        <w:tc>
          <w:tcPr>
            <w:tcW w:type="dxa" w:w="2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Nombre de MD</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2</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2</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1</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2</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2</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2</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0</w:t>
            </w:r>
          </w:p>
        </w:tc>
      </w:tr>
    </w:tbl>
    <w:p>
      <w:pPr>
        <w:spacing w:after="60"/>
      </w:pPr>
      <w:r>
        <w:rPr>
          <w:rFonts w:ascii="Calibri" w:cs="Calibri" w:eastAsia="Calibri" w:hAnsi="Calibri"/>
          <w:sz w:val="21"/>
          <w:szCs w:val="21"/>
        </w:rPr>
        <w:t xml:space="preserve"/>
      </w:r>
    </w:p>
    <w:p>
      <w:pPr>
        <w:spacing w:after="80"/>
      </w:pPr>
      <w:r>
        <w:rPr>
          <w:rFonts w:ascii="Calibri" w:cs="Calibri" w:eastAsia="Calibri" w:hAnsi="Calibri"/>
          <w:b/>
          <w:bCs/>
          <w:color w:val="1F4E79"/>
          <w:sz w:val="21"/>
          <w:szCs w:val="21"/>
        </w:rPr>
        <w:t xml:space="preserve">Détail des données nécessaires par magasin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7400"/>
      </w:tblGrid>
      <w:tr>
        <w:trPr>
          <w:tblHeader/>
        </w:trPr>
        <w:tc>
          <w:tcPr>
            <w:tcW w:type="dxa" w:w="18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Magasin</w:t>
            </w:r>
          </w:p>
        </w:tc>
        <w:tc>
          <w:tcPr>
            <w:tcW w:type="dxa" w:w="52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Données nécessaires</w:t>
            </w:r>
          </w:p>
        </w:tc>
        <w:tc>
          <w:tcPr>
            <w:tcW w:type="dxa" w:w="7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Sources</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Locations : date de début, durée, exemplaire, employé</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S1 (nouvelles locations), S6 (historique)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Montant au prix public et montant payé</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S2.Tarif (prix valable à la date et dans le pays), S6.REDUCTION (% de réduction par gamme, profil et année)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Exemplaire et informations produit : produit, marque, gamme, secteur, génération, fabricant, agence</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S2.Exemplaire, S2.Produit, S2.Generation, S2.Fabricant, S2.Agence, S6.GAMME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Employé : nom, prénom, profil, classe de trajet</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S6.EMPLOYE, S6.CATEGORIE (FR), S4 (DE)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 / 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Géographie de la société, quel que soit son pays</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S6.SOCIETE (ville, département, région FR), S5 (découpage administratif DE)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Achats : date, quantité, produit, employé</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S1 (nouveaux achats), S6.ACHAT (historique)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Montant payé et bénéfice</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S2.Tarif, S6.REDUCTION</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Métier des salariés (ROME, 4 niveaux), historisé</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S3 (FR uniquement)</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Société : type, catégorie juridique (3 niveaux)</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S5 (INSEE), S6.SOCIETE</w:t>
            </w:r>
          </w:p>
        </w:tc>
      </w:tr>
    </w:tbl>
    <w:p>
      <w:pPr>
        <w:spacing w:after="60"/>
      </w:pPr>
      <w:r>
        <w:rPr>
          <w:rFonts w:ascii="Calibri" w:cs="Calibri" w:eastAsia="Calibri" w:hAnsi="Calibri"/>
          <w:sz w:val="21"/>
          <w:szCs w:val="21"/>
        </w:rPr>
        <w:t xml:space="preserve"/>
      </w:r>
    </w:p>
    <w:p>
      <w:pPr>
        <w:spacing w:after="80"/>
      </w:pPr>
      <w:r>
        <w:rPr>
          <w:rFonts w:ascii="Calibri" w:cs="Calibri" w:eastAsia="Calibri" w:hAnsi="Calibri"/>
          <w:b/>
          <w:bCs/>
          <w:color w:val="1F4E79"/>
          <w:sz w:val="21"/>
          <w:szCs w:val="21"/>
        </w:rPr>
        <w:t xml:space="preserve">Détection du besoin d'un entrepôt de données</w:t>
      </w:r>
    </w:p>
    <w:p>
      <w:pPr>
        <w:spacing w:after="120"/>
      </w:pPr>
      <w:r>
        <w:rPr>
          <w:rFonts w:ascii="Calibri" w:cs="Calibri" w:eastAsia="Calibri" w:hAnsi="Calibri"/>
          <w:sz w:val="21"/>
          <w:szCs w:val="21"/>
        </w:rPr>
        <w:t xml:space="preserve">Le tableau de correspondance montre que la mise en place (ou plutôt l'extension) d'un entrepôt de données central est nécessaire, pour les raisons suivantes :</w:t>
      </w:r>
    </w:p>
    <w:p>
      <w:pPr>
        <w:pStyle w:val="ListParagraph"/>
        <w:numPr>
          <w:ilvl w:val="0"/>
          <w:numId w:val="2"/>
        </w:numPr>
        <w:spacing w:after="60"/>
      </w:pPr>
      <w:r>
        <w:rPr>
          <w:sz w:val="20"/>
          <w:szCs w:val="20"/>
        </w:rPr>
        <w:t xml:space="preserve">Les deux magasins puisent dans plusieurs sources communes (S1, S2, S4, S5, S6) : sans ED, chaque magasin devrait refaire les mêmes extractions et les mêmes nettoyages, avec un risque de résultats incohérents entre la location et la vente.</w:t>
      </w:r>
    </w:p>
    <w:p>
      <w:pPr>
        <w:pStyle w:val="ListParagraph"/>
        <w:numPr>
          <w:ilvl w:val="0"/>
          <w:numId w:val="2"/>
        </w:numPr>
        <w:spacing w:after="60"/>
      </w:pPr>
      <w:r>
        <w:rPr>
          <w:sz w:val="20"/>
          <w:szCs w:val="20"/>
        </w:rPr>
        <w:t xml:space="preserve">Les deux magasins partagent les mêmes axes d'analyse (temps, produit, employé, société) : l'ED garantit des dimensions communes et un vocabulaire unique pour les deux classes de décideurs.</w:t>
      </w:r>
    </w:p>
    <w:p>
      <w:pPr>
        <w:pStyle w:val="ListParagraph"/>
        <w:numPr>
          <w:ilvl w:val="0"/>
          <w:numId w:val="2"/>
        </w:numPr>
        <w:spacing w:after="60"/>
      </w:pPr>
      <w:r>
        <w:rPr>
          <w:sz w:val="20"/>
          <w:szCs w:val="20"/>
        </w:rPr>
        <w:t xml:space="preserve">Plusieurs données doivent être historisées alors que les sources n'en gardent qu'une version : les métiers des salariés (RG9) et les tarifs par pays et par période (RG4). Seul un ED peut conserver cet historique.</w:t>
      </w:r>
    </w:p>
    <w:p>
      <w:pPr>
        <w:pStyle w:val="ListParagraph"/>
        <w:numPr>
          <w:ilvl w:val="0"/>
          <w:numId w:val="2"/>
        </w:numPr>
        <w:spacing w:after="60"/>
      </w:pPr>
      <w:r>
        <w:rPr>
          <w:sz w:val="20"/>
          <w:szCs w:val="20"/>
        </w:rPr>
        <w:t xml:space="preserve">Les sources sont hétérogènes et nécessitent des transformations lourdes avant analyse : correspondance matricule RH ↔ CodeE (RG6), rapprochement des libellés de services (RG7), conversion HT / TTC (RG5), géographie différente selon le pays (RG13).</w:t>
      </w:r>
    </w:p>
    <w:p>
      <w:pPr>
        <w:pStyle w:val="ListParagraph"/>
        <w:numPr>
          <w:ilvl w:val="0"/>
          <w:numId w:val="2"/>
        </w:numPr>
        <w:spacing w:after="60"/>
      </w:pPr>
      <w:r>
        <w:rPr>
          <w:sz w:val="20"/>
          <w:szCs w:val="20"/>
        </w:rPr>
        <w:t xml:space="preserve">Un ED existe déjà (V1, Oracle 19c, Lyon) avec deux ans d'historique : nous l'étendons plutôt que de repartir de zéro, ce qui protège l'investissement de MobiPass.</w:t>
      </w:r>
    </w:p>
    <w:p>
      <w:pPr>
        <w:spacing w:after="120"/>
      </w:pPr>
      <w:r>
        <w:rPr>
          <w:rFonts w:ascii="Calibri" w:cs="Calibri" w:eastAsia="Calibri" w:hAnsi="Calibri"/>
          <w:i/>
          <w:iCs/>
          <w:color w:val="595959"/>
          <w:sz w:val="20"/>
          <w:szCs w:val="20"/>
        </w:rPr>
        <w:t xml:space="preserve">Le schéma global de l'architecture est fourni dans le fichier MobiPass_Architecture_SAD.drawio.</w:t>
      </w:r>
    </w:p>
    <w:p>
      <w:pPr>
        <w:pStyle w:val="Heading1"/>
        <w:pageBreakBefore/>
      </w:pPr>
      <w:r>
        <w:t xml:space="preserve">Conception de l'entrepôt de données</w:t>
      </w:r>
    </w:p>
    <w:p>
      <w:pPr>
        <w:spacing w:after="120"/>
      </w:pPr>
      <w:r>
        <w:rPr>
          <w:rFonts w:ascii="Calibri" w:cs="Calibri" w:eastAsia="Calibri" w:hAnsi="Calibri"/>
          <w:sz w:val="21"/>
          <w:szCs w:val="21"/>
        </w:rPr>
        <w:t xml:space="preserve">L'entrepôt de données V2 est une évolution de l'ED actuel (V1, Oracle 19c) : nous conservons ses tables et son historique, nous en enrichissons certaines et nous en ajoutons de nouvelles pour répondre aux besoins des deux magasins. Le schéma conceptuel est fourni dans le fichier draw.io (page « 3. ED conceptuel »).</w:t>
      </w:r>
    </w:p>
    <w:p>
      <w:pPr>
        <w:pStyle w:val="Heading2"/>
      </w:pPr>
      <w:r>
        <w:t xml:space="preserve">Schéma logique relationnel déduit</w:t>
      </w:r>
    </w:p>
    <w:p>
      <w:pPr>
        <w:spacing w:after="120"/>
      </w:pPr>
      <w:r>
        <w:rPr>
          <w:rFonts w:ascii="Calibri" w:cs="Calibri" w:eastAsia="Calibri" w:hAnsi="Calibri"/>
          <w:i/>
          <w:iCs/>
          <w:color w:val="595959"/>
          <w:sz w:val="18"/>
          <w:szCs w:val="18"/>
        </w:rPr>
        <w:t xml:space="preserve">Clés primaires soulignées, clés étrangères suffixées par #. Couleur : bleu = table V1 inchangée, orange = table V1 modifiée, vert = nouvelle table.</w:t>
      </w:r>
    </w:p>
    <w:p>
      <w:pPr>
        <w:pStyle w:val="ListParagraph"/>
        <w:numPr>
          <w:ilvl w:val="0"/>
          <w:numId w:val="2"/>
        </w:numPr>
        <w:spacing w:after="40"/>
      </w:pPr>
      <w:r>
        <w:rPr>
          <w:b/>
          <w:bCs/>
          <w:color w:val="2E7D32"/>
          <w:sz w:val="20"/>
          <w:szCs w:val="20"/>
        </w:rPr>
        <w:t xml:space="preserve">PAYS</w:t>
      </w:r>
      <w:r>
        <w:rPr>
          <w:sz w:val="20"/>
          <w:szCs w:val="20"/>
        </w:rPr>
        <w:t xml:space="preserve">(</w:t>
      </w:r>
      <w:r>
        <w:rPr>
          <w:sz w:val="20"/>
          <w:szCs w:val="20"/>
          <w:u w:val="single"/>
        </w:rPr>
        <w:t xml:space="preserve">CodePays</w:t>
      </w:r>
      <w:r>
        <w:rPr>
          <w:sz w:val="20"/>
          <w:szCs w:val="20"/>
        </w:rPr>
        <w:t xml:space="preserve">, </w:t>
      </w:r>
      <w:r>
        <w:rPr>
          <w:sz w:val="20"/>
          <w:szCs w:val="20"/>
        </w:rPr>
        <w:t xml:space="preserve">NomPays</w:t>
      </w:r>
      <w:r>
        <w:rPr>
          <w:sz w:val="20"/>
          <w:szCs w:val="20"/>
        </w:rPr>
        <w:t xml:space="preserve">, </w:t>
      </w:r>
      <w:r>
        <w:rPr>
          <w:sz w:val="20"/>
          <w:szCs w:val="20"/>
        </w:rPr>
        <w:t xml:space="preserve">TauxTVA</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ZONE_GEO</w:t>
      </w:r>
      <w:r>
        <w:rPr>
          <w:sz w:val="20"/>
          <w:szCs w:val="20"/>
        </w:rPr>
        <w:t xml:space="preserve">(</w:t>
      </w:r>
      <w:r>
        <w:rPr>
          <w:sz w:val="20"/>
          <w:szCs w:val="20"/>
          <w:u w:val="single"/>
        </w:rPr>
        <w:t xml:space="preserve">CodeZG</w:t>
      </w:r>
      <w:r>
        <w:rPr>
          <w:sz w:val="20"/>
          <w:szCs w:val="20"/>
        </w:rPr>
        <w:t xml:space="preserve">, </w:t>
      </w:r>
      <w:r>
        <w:rPr>
          <w:sz w:val="20"/>
          <w:szCs w:val="20"/>
        </w:rPr>
        <w:t xml:space="preserve">NomZG</w:t>
      </w:r>
      <w:r>
        <w:rPr>
          <w:sz w:val="20"/>
          <w:szCs w:val="20"/>
        </w:rPr>
        <w:t xml:space="preserve">, </w:t>
      </w:r>
      <w:r>
        <w:rPr>
          <w:sz w:val="20"/>
          <w:szCs w:val="20"/>
        </w:rPr>
        <w:t xml:space="preserve">NiveauZG</w:t>
      </w:r>
      <w:r>
        <w:rPr>
          <w:sz w:val="20"/>
          <w:szCs w:val="20"/>
        </w:rPr>
        <w:t xml:space="preserve">, </w:t>
      </w:r>
      <w:r>
        <w:rPr>
          <w:sz w:val="20"/>
          <w:szCs w:val="20"/>
        </w:rPr>
        <w:t xml:space="preserve">CodePays#</w:t>
      </w:r>
      <w:r>
        <w:rPr>
          <w:sz w:val="20"/>
          <w:szCs w:val="20"/>
        </w:rPr>
        <w:t xml:space="preserve">, </w:t>
      </w:r>
      <w:r>
        <w:rPr>
          <w:sz w:val="20"/>
          <w:szCs w:val="20"/>
        </w:rPr>
        <w:t xml:space="preserve">CodeZG_Sup#</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1F4E79"/>
          <w:sz w:val="20"/>
          <w:szCs w:val="20"/>
        </w:rPr>
        <w:t xml:space="preserve">DOMAINE</w:t>
      </w:r>
      <w:r>
        <w:rPr>
          <w:sz w:val="20"/>
          <w:szCs w:val="20"/>
        </w:rPr>
        <w:t xml:space="preserve">(</w:t>
      </w:r>
      <w:r>
        <w:rPr>
          <w:sz w:val="20"/>
          <w:szCs w:val="20"/>
          <w:u w:val="single"/>
        </w:rPr>
        <w:t xml:space="preserve">CodeDO</w:t>
      </w:r>
      <w:r>
        <w:rPr>
          <w:sz w:val="20"/>
          <w:szCs w:val="20"/>
        </w:rPr>
        <w:t xml:space="preserve">, </w:t>
      </w:r>
      <w:r>
        <w:rPr>
          <w:sz w:val="20"/>
          <w:szCs w:val="20"/>
        </w:rPr>
        <w:t xml:space="preserve">NomDO</w:t>
      </w:r>
      <w:r>
        <w:rPr>
          <w:sz w:val="20"/>
          <w:szCs w:val="20"/>
        </w:rPr>
        <w:t xml:space="preserve">, </w:t>
      </w:r>
      <w:r>
        <w:rPr>
          <w:sz w:val="20"/>
          <w:szCs w:val="20"/>
        </w:rPr>
        <w:t xml:space="preserve">CodeDO_Sup#</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2E7D32"/>
          <w:sz w:val="20"/>
          <w:szCs w:val="20"/>
        </w:rPr>
        <w:t xml:space="preserve">CATEGORIE_JURIDIQUE</w:t>
      </w:r>
      <w:r>
        <w:rPr>
          <w:sz w:val="20"/>
          <w:szCs w:val="20"/>
        </w:rPr>
        <w:t xml:space="preserve">(</w:t>
      </w:r>
      <w:r>
        <w:rPr>
          <w:sz w:val="20"/>
          <w:szCs w:val="20"/>
          <w:u w:val="single"/>
        </w:rPr>
        <w:t xml:space="preserve">CodeCJ</w:t>
      </w:r>
      <w:r>
        <w:rPr>
          <w:sz w:val="20"/>
          <w:szCs w:val="20"/>
        </w:rPr>
        <w:t xml:space="preserve">, </w:t>
      </w:r>
      <w:r>
        <w:rPr>
          <w:sz w:val="20"/>
          <w:szCs w:val="20"/>
        </w:rPr>
        <w:t xml:space="preserve">LibelleCJ</w:t>
      </w:r>
      <w:r>
        <w:rPr>
          <w:sz w:val="20"/>
          <w:szCs w:val="20"/>
        </w:rPr>
        <w:t xml:space="preserve">, </w:t>
      </w:r>
      <w:r>
        <w:rPr>
          <w:sz w:val="20"/>
          <w:szCs w:val="20"/>
        </w:rPr>
        <w:t xml:space="preserve">NiveauCJ</w:t>
      </w:r>
      <w:r>
        <w:rPr>
          <w:sz w:val="20"/>
          <w:szCs w:val="20"/>
        </w:rPr>
        <w:t xml:space="preserve">, </w:t>
      </w:r>
      <w:r>
        <w:rPr>
          <w:sz w:val="20"/>
          <w:szCs w:val="20"/>
        </w:rPr>
        <w:t xml:space="preserve">CodeCJ_Sup#</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C55A11"/>
          <w:sz w:val="20"/>
          <w:szCs w:val="20"/>
        </w:rPr>
        <w:t xml:space="preserve">SOCIETE</w:t>
      </w:r>
      <w:r>
        <w:rPr>
          <w:sz w:val="20"/>
          <w:szCs w:val="20"/>
        </w:rPr>
        <w:t xml:space="preserve">(</w:t>
      </w:r>
      <w:r>
        <w:rPr>
          <w:sz w:val="20"/>
          <w:szCs w:val="20"/>
          <w:u w:val="single"/>
        </w:rPr>
        <w:t xml:space="preserve">CodeSOC</w:t>
      </w:r>
      <w:r>
        <w:rPr>
          <w:sz w:val="20"/>
          <w:szCs w:val="20"/>
        </w:rPr>
        <w:t xml:space="preserve">, </w:t>
      </w:r>
      <w:r>
        <w:rPr>
          <w:sz w:val="20"/>
          <w:szCs w:val="20"/>
        </w:rPr>
        <w:t xml:space="preserve">NomSOC</w:t>
      </w:r>
      <w:r>
        <w:rPr>
          <w:sz w:val="20"/>
          <w:szCs w:val="20"/>
        </w:rPr>
        <w:t xml:space="preserve">, </w:t>
      </w:r>
      <w:r>
        <w:rPr>
          <w:sz w:val="20"/>
          <w:szCs w:val="20"/>
        </w:rPr>
        <w:t xml:space="preserve">TypeSOC</w:t>
      </w:r>
      <w:r>
        <w:rPr>
          <w:sz w:val="20"/>
          <w:szCs w:val="20"/>
        </w:rPr>
        <w:t xml:space="preserve">, </w:t>
      </w:r>
      <w:r>
        <w:rPr>
          <w:sz w:val="20"/>
          <w:szCs w:val="20"/>
        </w:rPr>
        <w:t xml:space="preserve">CodeDO#</w:t>
      </w:r>
      <w:r>
        <w:rPr>
          <w:sz w:val="20"/>
          <w:szCs w:val="20"/>
        </w:rPr>
        <w:t xml:space="preserve">, </w:t>
      </w:r>
      <w:r>
        <w:rPr>
          <w:sz w:val="20"/>
          <w:szCs w:val="20"/>
        </w:rPr>
        <w:t xml:space="preserve">CodeCJ#</w:t>
      </w:r>
      <w:r>
        <w:rPr>
          <w:sz w:val="20"/>
          <w:szCs w:val="20"/>
        </w:rPr>
        <w:t xml:space="preserve">, </w:t>
      </w:r>
      <w:r>
        <w:rPr>
          <w:sz w:val="20"/>
          <w:szCs w:val="20"/>
        </w:rPr>
        <w:t xml:space="preserve">CodeZG#</w:t>
      </w:r>
      <w:r>
        <w:rPr>
          <w:sz w:val="20"/>
          <w:szCs w:val="20"/>
        </w:rPr>
        <w:t xml:space="preserve">)</w:t>
      </w:r>
      <w:r>
        <w:rPr>
          <w:i/>
          <w:iCs/>
          <w:color w:val="808080"/>
          <w:sz w:val="16"/>
          <w:szCs w:val="16"/>
        </w:rPr>
        <w:t xml:space="preserve">   [V1 modifiée]</w:t>
      </w:r>
    </w:p>
    <w:p>
      <w:pPr>
        <w:pStyle w:val="ListParagraph"/>
        <w:numPr>
          <w:ilvl w:val="0"/>
          <w:numId w:val="2"/>
        </w:numPr>
        <w:spacing w:after="40"/>
      </w:pPr>
      <w:r>
        <w:rPr>
          <w:b/>
          <w:bCs/>
          <w:color w:val="1F4E79"/>
          <w:sz w:val="20"/>
          <w:szCs w:val="20"/>
        </w:rPr>
        <w:t xml:space="preserve">SERVICE</w:t>
      </w:r>
      <w:r>
        <w:rPr>
          <w:sz w:val="20"/>
          <w:szCs w:val="20"/>
        </w:rPr>
        <w:t xml:space="preserve">(</w:t>
      </w:r>
      <w:r>
        <w:rPr>
          <w:sz w:val="20"/>
          <w:szCs w:val="20"/>
          <w:u w:val="single"/>
        </w:rPr>
        <w:t xml:space="preserve">CodeSE</w:t>
      </w:r>
      <w:r>
        <w:rPr>
          <w:sz w:val="20"/>
          <w:szCs w:val="20"/>
        </w:rPr>
        <w:t xml:space="preserve">, </w:t>
      </w:r>
      <w:r>
        <w:rPr>
          <w:sz w:val="20"/>
          <w:szCs w:val="20"/>
        </w:rPr>
        <w:t xml:space="preserve">NomSE</w:t>
      </w:r>
      <w:r>
        <w:rPr>
          <w:sz w:val="20"/>
          <w:szCs w:val="20"/>
        </w:rPr>
        <w:t xml:space="preserve">, </w:t>
      </w:r>
      <w:r>
        <w:rPr>
          <w:sz w:val="20"/>
          <w:szCs w:val="20"/>
        </w:rPr>
        <w:t xml:space="preserve">CodeSOC#</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1F4E79"/>
          <w:sz w:val="20"/>
          <w:szCs w:val="20"/>
        </w:rPr>
        <w:t xml:space="preserve">CATEGORIE</w:t>
      </w:r>
      <w:r>
        <w:rPr>
          <w:sz w:val="20"/>
          <w:szCs w:val="20"/>
        </w:rPr>
        <w:t xml:space="preserve">(</w:t>
      </w:r>
      <w:r>
        <w:rPr>
          <w:sz w:val="20"/>
          <w:szCs w:val="20"/>
          <w:u w:val="single"/>
        </w:rPr>
        <w:t xml:space="preserve">CodeCAT</w:t>
      </w:r>
      <w:r>
        <w:rPr>
          <w:sz w:val="20"/>
          <w:szCs w:val="20"/>
        </w:rPr>
        <w:t xml:space="preserve">, </w:t>
      </w:r>
      <w:r>
        <w:rPr>
          <w:sz w:val="20"/>
          <w:szCs w:val="20"/>
        </w:rPr>
        <w:t xml:space="preserve">NomCAT</w:t>
      </w:r>
      <w:r>
        <w:rPr>
          <w:sz w:val="20"/>
          <w:szCs w:val="20"/>
        </w:rPr>
        <w:t xml:space="preserve">, </w:t>
      </w:r>
      <w:r>
        <w:rPr>
          <w:sz w:val="20"/>
          <w:szCs w:val="20"/>
        </w:rPr>
        <w:t xml:space="preserve">SuperCAT</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C55A11"/>
          <w:sz w:val="20"/>
          <w:szCs w:val="20"/>
        </w:rPr>
        <w:t xml:space="preserve">EMPLOYE</w:t>
      </w:r>
      <w:r>
        <w:rPr>
          <w:sz w:val="20"/>
          <w:szCs w:val="20"/>
        </w:rPr>
        <w:t xml:space="preserve">(</w:t>
      </w:r>
      <w:r>
        <w:rPr>
          <w:sz w:val="20"/>
          <w:szCs w:val="20"/>
          <w:u w:val="single"/>
        </w:rPr>
        <w:t xml:space="preserve">CodeE</w:t>
      </w:r>
      <w:r>
        <w:rPr>
          <w:sz w:val="20"/>
          <w:szCs w:val="20"/>
        </w:rPr>
        <w:t xml:space="preserve">, </w:t>
      </w:r>
      <w:r>
        <w:rPr>
          <w:sz w:val="20"/>
          <w:szCs w:val="20"/>
        </w:rPr>
        <w:t xml:space="preserve">NomE</w:t>
      </w:r>
      <w:r>
        <w:rPr>
          <w:sz w:val="20"/>
          <w:szCs w:val="20"/>
        </w:rPr>
        <w:t xml:space="preserve">, </w:t>
      </w:r>
      <w:r>
        <w:rPr>
          <w:sz w:val="20"/>
          <w:szCs w:val="20"/>
        </w:rPr>
        <w:t xml:space="preserve">PrenomE</w:t>
      </w:r>
      <w:r>
        <w:rPr>
          <w:sz w:val="20"/>
          <w:szCs w:val="20"/>
        </w:rPr>
        <w:t xml:space="preserve">, </w:t>
      </w:r>
      <w:r>
        <w:rPr>
          <w:sz w:val="20"/>
          <w:szCs w:val="20"/>
        </w:rPr>
        <w:t xml:space="preserve">MatriculeSAL</w:t>
      </w:r>
      <w:r>
        <w:rPr>
          <w:sz w:val="20"/>
          <w:szCs w:val="20"/>
        </w:rPr>
        <w:t xml:space="preserve">, </w:t>
      </w:r>
      <w:r>
        <w:rPr>
          <w:sz w:val="20"/>
          <w:szCs w:val="20"/>
        </w:rPr>
        <w:t xml:space="preserve">SIRET</w:t>
      </w:r>
      <w:r>
        <w:rPr>
          <w:sz w:val="20"/>
          <w:szCs w:val="20"/>
        </w:rPr>
        <w:t xml:space="preserve">, </w:t>
      </w:r>
      <w:r>
        <w:rPr>
          <w:sz w:val="20"/>
          <w:szCs w:val="20"/>
        </w:rPr>
        <w:t xml:space="preserve">DateNaissE</w:t>
      </w:r>
      <w:r>
        <w:rPr>
          <w:sz w:val="20"/>
          <w:szCs w:val="20"/>
        </w:rPr>
        <w:t xml:space="preserve">, </w:t>
      </w:r>
      <w:r>
        <w:rPr>
          <w:sz w:val="20"/>
          <w:szCs w:val="20"/>
        </w:rPr>
        <w:t xml:space="preserve">DateEntreeE</w:t>
      </w:r>
      <w:r>
        <w:rPr>
          <w:sz w:val="20"/>
          <w:szCs w:val="20"/>
        </w:rPr>
        <w:t xml:space="preserve">, </w:t>
      </w:r>
      <w:r>
        <w:rPr>
          <w:sz w:val="20"/>
          <w:szCs w:val="20"/>
        </w:rPr>
        <w:t xml:space="preserve">CPResidenceE</w:t>
      </w:r>
      <w:r>
        <w:rPr>
          <w:sz w:val="20"/>
          <w:szCs w:val="20"/>
        </w:rPr>
        <w:t xml:space="preserve">, </w:t>
      </w:r>
      <w:r>
        <w:rPr>
          <w:sz w:val="20"/>
          <w:szCs w:val="20"/>
        </w:rPr>
        <w:t xml:space="preserve">CodeCAT#</w:t>
      </w:r>
      <w:r>
        <w:rPr>
          <w:sz w:val="20"/>
          <w:szCs w:val="20"/>
        </w:rPr>
        <w:t xml:space="preserve">, </w:t>
      </w:r>
      <w:r>
        <w:rPr>
          <w:sz w:val="20"/>
          <w:szCs w:val="20"/>
        </w:rPr>
        <w:t xml:space="preserve">CodeSE#</w:t>
      </w:r>
      <w:r>
        <w:rPr>
          <w:sz w:val="20"/>
          <w:szCs w:val="20"/>
        </w:rPr>
        <w:t xml:space="preserve">)</w:t>
      </w:r>
      <w:r>
        <w:rPr>
          <w:i/>
          <w:iCs/>
          <w:color w:val="808080"/>
          <w:sz w:val="16"/>
          <w:szCs w:val="16"/>
        </w:rPr>
        <w:t xml:space="preserve">   [V1 modifiée]</w:t>
      </w:r>
    </w:p>
    <w:p>
      <w:pPr>
        <w:pStyle w:val="ListParagraph"/>
        <w:numPr>
          <w:ilvl w:val="0"/>
          <w:numId w:val="2"/>
        </w:numPr>
        <w:spacing w:after="40"/>
      </w:pPr>
      <w:r>
        <w:rPr>
          <w:b/>
          <w:bCs/>
          <w:color w:val="2E7D32"/>
          <w:sz w:val="20"/>
          <w:szCs w:val="20"/>
        </w:rPr>
        <w:t xml:space="preserve">GRAND_DOMAINE</w:t>
      </w:r>
      <w:r>
        <w:rPr>
          <w:sz w:val="20"/>
          <w:szCs w:val="20"/>
        </w:rPr>
        <w:t xml:space="preserve">(</w:t>
      </w:r>
      <w:r>
        <w:rPr>
          <w:sz w:val="20"/>
          <w:szCs w:val="20"/>
          <w:u w:val="single"/>
        </w:rPr>
        <w:t xml:space="preserve">CodeGD</w:t>
      </w:r>
      <w:r>
        <w:rPr>
          <w:sz w:val="20"/>
          <w:szCs w:val="20"/>
        </w:rPr>
        <w:t xml:space="preserve">, </w:t>
      </w:r>
      <w:r>
        <w:rPr>
          <w:sz w:val="20"/>
          <w:szCs w:val="20"/>
        </w:rPr>
        <w:t xml:space="preserve">LibelleGD</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DOMAINE_PRO</w:t>
      </w:r>
      <w:r>
        <w:rPr>
          <w:sz w:val="20"/>
          <w:szCs w:val="20"/>
        </w:rPr>
        <w:t xml:space="preserve">(</w:t>
      </w:r>
      <w:r>
        <w:rPr>
          <w:sz w:val="20"/>
          <w:szCs w:val="20"/>
          <w:u w:val="single"/>
        </w:rPr>
        <w:t xml:space="preserve">CodeDP</w:t>
      </w:r>
      <w:r>
        <w:rPr>
          <w:sz w:val="20"/>
          <w:szCs w:val="20"/>
        </w:rPr>
        <w:t xml:space="preserve">, </w:t>
      </w:r>
      <w:r>
        <w:rPr>
          <w:sz w:val="20"/>
          <w:szCs w:val="20"/>
        </w:rPr>
        <w:t xml:space="preserve">LibelleDP</w:t>
      </w:r>
      <w:r>
        <w:rPr>
          <w:sz w:val="20"/>
          <w:szCs w:val="20"/>
        </w:rPr>
        <w:t xml:space="preserve">, </w:t>
      </w:r>
      <w:r>
        <w:rPr>
          <w:sz w:val="20"/>
          <w:szCs w:val="20"/>
        </w:rPr>
        <w:t xml:space="preserve">CodeGD#</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FICHE_METIER</w:t>
      </w:r>
      <w:r>
        <w:rPr>
          <w:sz w:val="20"/>
          <w:szCs w:val="20"/>
        </w:rPr>
        <w:t xml:space="preserve">(</w:t>
      </w:r>
      <w:r>
        <w:rPr>
          <w:sz w:val="20"/>
          <w:szCs w:val="20"/>
          <w:u w:val="single"/>
        </w:rPr>
        <w:t xml:space="preserve">CodeROME</w:t>
      </w:r>
      <w:r>
        <w:rPr>
          <w:sz w:val="20"/>
          <w:szCs w:val="20"/>
        </w:rPr>
        <w:t xml:space="preserve">, </w:t>
      </w:r>
      <w:r>
        <w:rPr>
          <w:sz w:val="20"/>
          <w:szCs w:val="20"/>
        </w:rPr>
        <w:t xml:space="preserve">LibelleMetier</w:t>
      </w:r>
      <w:r>
        <w:rPr>
          <w:sz w:val="20"/>
          <w:szCs w:val="20"/>
        </w:rPr>
        <w:t xml:space="preserve">, </w:t>
      </w:r>
      <w:r>
        <w:rPr>
          <w:sz w:val="20"/>
          <w:szCs w:val="20"/>
        </w:rPr>
        <w:t xml:space="preserve">CodeDP#</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APPELLATION</w:t>
      </w:r>
      <w:r>
        <w:rPr>
          <w:sz w:val="20"/>
          <w:szCs w:val="20"/>
        </w:rPr>
        <w:t xml:space="preserve">(</w:t>
      </w:r>
      <w:r>
        <w:rPr>
          <w:sz w:val="20"/>
          <w:szCs w:val="20"/>
          <w:u w:val="single"/>
        </w:rPr>
        <w:t xml:space="preserve">CodeAPP</w:t>
      </w:r>
      <w:r>
        <w:rPr>
          <w:sz w:val="20"/>
          <w:szCs w:val="20"/>
        </w:rPr>
        <w:t xml:space="preserve">, </w:t>
      </w:r>
      <w:r>
        <w:rPr>
          <w:sz w:val="20"/>
          <w:szCs w:val="20"/>
        </w:rPr>
        <w:t xml:space="preserve">LibelleAPP</w:t>
      </w:r>
      <w:r>
        <w:rPr>
          <w:sz w:val="20"/>
          <w:szCs w:val="20"/>
        </w:rPr>
        <w:t xml:space="preserve">, </w:t>
      </w:r>
      <w:r>
        <w:rPr>
          <w:sz w:val="20"/>
          <w:szCs w:val="20"/>
        </w:rPr>
        <w:t xml:space="preserve">CodeROME#</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EXERCER</w:t>
      </w:r>
      <w:r>
        <w:rPr>
          <w:sz w:val="20"/>
          <w:szCs w:val="20"/>
        </w:rPr>
        <w:t xml:space="preserve">(</w:t>
      </w:r>
      <w:r>
        <w:rPr>
          <w:sz w:val="20"/>
          <w:szCs w:val="20"/>
          <w:u w:val="single"/>
        </w:rPr>
        <w:t xml:space="preserve">CodeE#</w:t>
      </w:r>
      <w:r>
        <w:rPr>
          <w:sz w:val="20"/>
          <w:szCs w:val="20"/>
        </w:rPr>
        <w:t xml:space="preserve">, </w:t>
      </w:r>
      <w:r>
        <w:rPr>
          <w:sz w:val="20"/>
          <w:szCs w:val="20"/>
          <w:u w:val="single"/>
        </w:rPr>
        <w:t xml:space="preserve">DateDebutMetier</w:t>
      </w:r>
      <w:r>
        <w:rPr>
          <w:sz w:val="20"/>
          <w:szCs w:val="20"/>
        </w:rPr>
        <w:t xml:space="preserve">, </w:t>
      </w:r>
      <w:r>
        <w:rPr>
          <w:sz w:val="20"/>
          <w:szCs w:val="20"/>
        </w:rPr>
        <w:t xml:space="preserve">CodeAPP#</w:t>
      </w:r>
      <w:r>
        <w:rPr>
          <w:sz w:val="20"/>
          <w:szCs w:val="20"/>
        </w:rPr>
        <w:t xml:space="preserve">, </w:t>
      </w:r>
      <w:r>
        <w:rPr>
          <w:sz w:val="20"/>
          <w:szCs w:val="20"/>
        </w:rPr>
        <w:t xml:space="preserve">DateFinMetier</w:t>
      </w:r>
      <w:r>
        <w:rPr>
          <w:sz w:val="20"/>
          <w:szCs w:val="20"/>
        </w:rPr>
        <w:t xml:space="preserve">, </w:t>
      </w:r>
      <w:r>
        <w:rPr>
          <w:sz w:val="20"/>
          <w:szCs w:val="20"/>
        </w:rPr>
        <w:t xml:space="preserve">TypeContrat</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FABRICANT</w:t>
      </w:r>
      <w:r>
        <w:rPr>
          <w:sz w:val="20"/>
          <w:szCs w:val="20"/>
        </w:rPr>
        <w:t xml:space="preserve">(</w:t>
      </w:r>
      <w:r>
        <w:rPr>
          <w:sz w:val="20"/>
          <w:szCs w:val="20"/>
          <w:u w:val="single"/>
        </w:rPr>
        <w:t xml:space="preserve">CodeFAB</w:t>
      </w:r>
      <w:r>
        <w:rPr>
          <w:sz w:val="20"/>
          <w:szCs w:val="20"/>
        </w:rPr>
        <w:t xml:space="preserve">, </w:t>
      </w:r>
      <w:r>
        <w:rPr>
          <w:sz w:val="20"/>
          <w:szCs w:val="20"/>
        </w:rPr>
        <w:t xml:space="preserve">NomFAB</w:t>
      </w:r>
      <w:r>
        <w:rPr>
          <w:sz w:val="20"/>
          <w:szCs w:val="20"/>
        </w:rPr>
        <w:t xml:space="preserve">, </w:t>
      </w:r>
      <w:r>
        <w:rPr>
          <w:sz w:val="20"/>
          <w:szCs w:val="20"/>
        </w:rPr>
        <w:t xml:space="preserve">PaysFAB</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GENERATION</w:t>
      </w:r>
      <w:r>
        <w:rPr>
          <w:sz w:val="20"/>
          <w:szCs w:val="20"/>
        </w:rPr>
        <w:t xml:space="preserve">(</w:t>
      </w:r>
      <w:r>
        <w:rPr>
          <w:sz w:val="20"/>
          <w:szCs w:val="20"/>
          <w:u w:val="single"/>
        </w:rPr>
        <w:t xml:space="preserve">CodeGEN</w:t>
      </w:r>
      <w:r>
        <w:rPr>
          <w:sz w:val="20"/>
          <w:szCs w:val="20"/>
        </w:rPr>
        <w:t xml:space="preserve">, </w:t>
      </w:r>
      <w:r>
        <w:rPr>
          <w:sz w:val="20"/>
          <w:szCs w:val="20"/>
        </w:rPr>
        <w:t xml:space="preserve">NomGEN</w:t>
      </w:r>
      <w:r>
        <w:rPr>
          <w:sz w:val="20"/>
          <w:szCs w:val="20"/>
        </w:rPr>
        <w:t xml:space="preserve">, </w:t>
      </w:r>
      <w:r>
        <w:rPr>
          <w:sz w:val="20"/>
          <w:szCs w:val="20"/>
        </w:rPr>
        <w:t xml:space="preserve">DateSortieGEN</w:t>
      </w:r>
      <w:r>
        <w:rPr>
          <w:sz w:val="20"/>
          <w:szCs w:val="20"/>
        </w:rPr>
        <w:t xml:space="preserve">, </w:t>
      </w:r>
      <w:r>
        <w:rPr>
          <w:sz w:val="20"/>
          <w:szCs w:val="20"/>
        </w:rPr>
        <w:t xml:space="preserve">DateArretGEN</w:t>
      </w:r>
      <w:r>
        <w:rPr>
          <w:sz w:val="20"/>
          <w:szCs w:val="20"/>
        </w:rPr>
        <w:t xml:space="preserve">, </w:t>
      </w:r>
      <w:r>
        <w:rPr>
          <w:sz w:val="20"/>
          <w:szCs w:val="20"/>
        </w:rPr>
        <w:t xml:space="preserve">CodeFAB#</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1F4E79"/>
          <w:sz w:val="20"/>
          <w:szCs w:val="20"/>
        </w:rPr>
        <w:t xml:space="preserve">GAMME</w:t>
      </w:r>
      <w:r>
        <w:rPr>
          <w:sz w:val="20"/>
          <w:szCs w:val="20"/>
        </w:rPr>
        <w:t xml:space="preserve">(</w:t>
      </w:r>
      <w:r>
        <w:rPr>
          <w:sz w:val="20"/>
          <w:szCs w:val="20"/>
          <w:u w:val="single"/>
        </w:rPr>
        <w:t xml:space="preserve">CodeG</w:t>
      </w:r>
      <w:r>
        <w:rPr>
          <w:sz w:val="20"/>
          <w:szCs w:val="20"/>
        </w:rPr>
        <w:t xml:space="preserve">, </w:t>
      </w:r>
      <w:r>
        <w:rPr>
          <w:sz w:val="20"/>
          <w:szCs w:val="20"/>
        </w:rPr>
        <w:t xml:space="preserve">NomG</w:t>
      </w:r>
      <w:r>
        <w:rPr>
          <w:sz w:val="20"/>
          <w:szCs w:val="20"/>
        </w:rPr>
        <w:t xml:space="preserve">, </w:t>
      </w:r>
      <w:r>
        <w:rPr>
          <w:sz w:val="20"/>
          <w:szCs w:val="20"/>
        </w:rPr>
        <w:t xml:space="preserve">SecteurG</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C55A11"/>
          <w:sz w:val="20"/>
          <w:szCs w:val="20"/>
        </w:rPr>
        <w:t xml:space="preserve">PRODUIT</w:t>
      </w:r>
      <w:r>
        <w:rPr>
          <w:sz w:val="20"/>
          <w:szCs w:val="20"/>
        </w:rPr>
        <w:t xml:space="preserve">(</w:t>
      </w:r>
      <w:r>
        <w:rPr>
          <w:sz w:val="20"/>
          <w:szCs w:val="20"/>
          <w:u w:val="single"/>
        </w:rPr>
        <w:t xml:space="preserve">CodeP</w:t>
      </w:r>
      <w:r>
        <w:rPr>
          <w:sz w:val="20"/>
          <w:szCs w:val="20"/>
        </w:rPr>
        <w:t xml:space="preserve">, </w:t>
      </w:r>
      <w:r>
        <w:rPr>
          <w:sz w:val="20"/>
          <w:szCs w:val="20"/>
        </w:rPr>
        <w:t xml:space="preserve">NomP</w:t>
      </w:r>
      <w:r>
        <w:rPr>
          <w:sz w:val="20"/>
          <w:szCs w:val="20"/>
        </w:rPr>
        <w:t xml:space="preserve">, </w:t>
      </w:r>
      <w:r>
        <w:rPr>
          <w:sz w:val="20"/>
          <w:szCs w:val="20"/>
        </w:rPr>
        <w:t xml:space="preserve">MarqueP</w:t>
      </w:r>
      <w:r>
        <w:rPr>
          <w:sz w:val="20"/>
          <w:szCs w:val="20"/>
        </w:rPr>
        <w:t xml:space="preserve">, </w:t>
      </w:r>
      <w:r>
        <w:rPr>
          <w:sz w:val="20"/>
          <w:szCs w:val="20"/>
        </w:rPr>
        <w:t xml:space="preserve">DescriptifP</w:t>
      </w:r>
      <w:r>
        <w:rPr>
          <w:sz w:val="20"/>
          <w:szCs w:val="20"/>
        </w:rPr>
        <w:t xml:space="preserve">, </w:t>
      </w:r>
      <w:r>
        <w:rPr>
          <w:sz w:val="20"/>
          <w:szCs w:val="20"/>
        </w:rPr>
        <w:t xml:space="preserve">PoidsKg</w:t>
      </w:r>
      <w:r>
        <w:rPr>
          <w:sz w:val="20"/>
          <w:szCs w:val="20"/>
        </w:rPr>
        <w:t xml:space="preserve">, </w:t>
      </w:r>
      <w:r>
        <w:rPr>
          <w:sz w:val="20"/>
          <w:szCs w:val="20"/>
        </w:rPr>
        <w:t xml:space="preserve">AutonomieKm</w:t>
      </w:r>
      <w:r>
        <w:rPr>
          <w:sz w:val="20"/>
          <w:szCs w:val="20"/>
        </w:rPr>
        <w:t xml:space="preserve">, </w:t>
      </w:r>
      <w:r>
        <w:rPr>
          <w:sz w:val="20"/>
          <w:szCs w:val="20"/>
        </w:rPr>
        <w:t xml:space="preserve">CodeG#</w:t>
      </w:r>
      <w:r>
        <w:rPr>
          <w:sz w:val="20"/>
          <w:szCs w:val="20"/>
        </w:rPr>
        <w:t xml:space="preserve">, </w:t>
      </w:r>
      <w:r>
        <w:rPr>
          <w:sz w:val="20"/>
          <w:szCs w:val="20"/>
        </w:rPr>
        <w:t xml:space="preserve">CodeGEN#</w:t>
      </w:r>
      <w:r>
        <w:rPr>
          <w:sz w:val="20"/>
          <w:szCs w:val="20"/>
        </w:rPr>
        <w:t xml:space="preserve">)</w:t>
      </w:r>
      <w:r>
        <w:rPr>
          <w:i/>
          <w:iCs/>
          <w:color w:val="808080"/>
          <w:sz w:val="16"/>
          <w:szCs w:val="16"/>
        </w:rPr>
        <w:t xml:space="preserve">   [V1 modifiée]</w:t>
      </w:r>
    </w:p>
    <w:p>
      <w:pPr>
        <w:pStyle w:val="ListParagraph"/>
        <w:numPr>
          <w:ilvl w:val="0"/>
          <w:numId w:val="2"/>
        </w:numPr>
        <w:spacing w:after="40"/>
      </w:pPr>
      <w:r>
        <w:rPr>
          <w:b/>
          <w:bCs/>
          <w:color w:val="2E7D32"/>
          <w:sz w:val="20"/>
          <w:szCs w:val="20"/>
        </w:rPr>
        <w:t xml:space="preserve">TARIF</w:t>
      </w:r>
      <w:r>
        <w:rPr>
          <w:sz w:val="20"/>
          <w:szCs w:val="20"/>
        </w:rPr>
        <w:t xml:space="preserve">(</w:t>
      </w:r>
      <w:r>
        <w:rPr>
          <w:sz w:val="20"/>
          <w:szCs w:val="20"/>
          <w:u w:val="single"/>
        </w:rPr>
        <w:t xml:space="preserve">CodeP#</w:t>
      </w:r>
      <w:r>
        <w:rPr>
          <w:sz w:val="20"/>
          <w:szCs w:val="20"/>
        </w:rPr>
        <w:t xml:space="preserve">, </w:t>
      </w:r>
      <w:r>
        <w:rPr>
          <w:sz w:val="20"/>
          <w:szCs w:val="20"/>
          <w:u w:val="single"/>
        </w:rPr>
        <w:t xml:space="preserve">CodePays#</w:t>
      </w:r>
      <w:r>
        <w:rPr>
          <w:sz w:val="20"/>
          <w:szCs w:val="20"/>
        </w:rPr>
        <w:t xml:space="preserve">, </w:t>
      </w:r>
      <w:r>
        <w:rPr>
          <w:sz w:val="20"/>
          <w:szCs w:val="20"/>
          <w:u w:val="single"/>
        </w:rPr>
        <w:t xml:space="preserve">DateDebutTarif</w:t>
      </w:r>
      <w:r>
        <w:rPr>
          <w:sz w:val="20"/>
          <w:szCs w:val="20"/>
        </w:rPr>
        <w:t xml:space="preserve">, </w:t>
      </w:r>
      <w:r>
        <w:rPr>
          <w:sz w:val="20"/>
          <w:szCs w:val="20"/>
        </w:rPr>
        <w:t xml:space="preserve">DateFinTarif</w:t>
      </w:r>
      <w:r>
        <w:rPr>
          <w:sz w:val="20"/>
          <w:szCs w:val="20"/>
        </w:rPr>
        <w:t xml:space="preserve">, </w:t>
      </w:r>
      <w:r>
        <w:rPr>
          <w:sz w:val="20"/>
          <w:szCs w:val="20"/>
        </w:rPr>
        <w:t xml:space="preserve">Prix_loc_jour</w:t>
      </w:r>
      <w:r>
        <w:rPr>
          <w:sz w:val="20"/>
          <w:szCs w:val="20"/>
        </w:rPr>
        <w:t xml:space="preserve">, </w:t>
      </w:r>
      <w:r>
        <w:rPr>
          <w:sz w:val="20"/>
          <w:szCs w:val="20"/>
        </w:rPr>
        <w:t xml:space="preserve">Prix_vente</w:t>
      </w:r>
      <w:r>
        <w:rPr>
          <w:sz w:val="20"/>
          <w:szCs w:val="20"/>
        </w:rPr>
        <w:t xml:space="preserve">, </w:t>
      </w:r>
      <w:r>
        <w:rPr>
          <w:sz w:val="20"/>
          <w:szCs w:val="20"/>
        </w:rPr>
        <w:t xml:space="preserve">ModePrix</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AGENCE</w:t>
      </w:r>
      <w:r>
        <w:rPr>
          <w:sz w:val="20"/>
          <w:szCs w:val="20"/>
        </w:rPr>
        <w:t xml:space="preserve">(</w:t>
      </w:r>
      <w:r>
        <w:rPr>
          <w:sz w:val="20"/>
          <w:szCs w:val="20"/>
          <w:u w:val="single"/>
        </w:rPr>
        <w:t xml:space="preserve">CodeAG</w:t>
      </w:r>
      <w:r>
        <w:rPr>
          <w:sz w:val="20"/>
          <w:szCs w:val="20"/>
        </w:rPr>
        <w:t xml:space="preserve">, </w:t>
      </w:r>
      <w:r>
        <w:rPr>
          <w:sz w:val="20"/>
          <w:szCs w:val="20"/>
        </w:rPr>
        <w:t xml:space="preserve">NomAG</w:t>
      </w:r>
      <w:r>
        <w:rPr>
          <w:sz w:val="20"/>
          <w:szCs w:val="20"/>
        </w:rPr>
        <w:t xml:space="preserve">, </w:t>
      </w:r>
      <w:r>
        <w:rPr>
          <w:sz w:val="20"/>
          <w:szCs w:val="20"/>
        </w:rPr>
        <w:t xml:space="preserve">VilleAG</w:t>
      </w:r>
      <w:r>
        <w:rPr>
          <w:sz w:val="20"/>
          <w:szCs w:val="20"/>
        </w:rPr>
        <w:t xml:space="preserve">, </w:t>
      </w:r>
      <w:r>
        <w:rPr>
          <w:sz w:val="20"/>
          <w:szCs w:val="20"/>
        </w:rPr>
        <w:t xml:space="preserve">CodePays#</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C55A11"/>
          <w:sz w:val="20"/>
          <w:szCs w:val="20"/>
        </w:rPr>
        <w:t xml:space="preserve">EXEMPLAIRE</w:t>
      </w:r>
      <w:r>
        <w:rPr>
          <w:sz w:val="20"/>
          <w:szCs w:val="20"/>
        </w:rPr>
        <w:t xml:space="preserve">(</w:t>
      </w:r>
      <w:r>
        <w:rPr>
          <w:sz w:val="20"/>
          <w:szCs w:val="20"/>
          <w:u w:val="single"/>
        </w:rPr>
        <w:t xml:space="preserve">CodeEX</w:t>
      </w:r>
      <w:r>
        <w:rPr>
          <w:sz w:val="20"/>
          <w:szCs w:val="20"/>
        </w:rPr>
        <w:t xml:space="preserve">, </w:t>
      </w:r>
      <w:r>
        <w:rPr>
          <w:sz w:val="20"/>
          <w:szCs w:val="20"/>
        </w:rPr>
        <w:t xml:space="preserve">NumSerieEX</w:t>
      </w:r>
      <w:r>
        <w:rPr>
          <w:sz w:val="20"/>
          <w:szCs w:val="20"/>
        </w:rPr>
        <w:t xml:space="preserve">, </w:t>
      </w:r>
      <w:r>
        <w:rPr>
          <w:sz w:val="20"/>
          <w:szCs w:val="20"/>
        </w:rPr>
        <w:t xml:space="preserve">DateMiseServiceEX</w:t>
      </w:r>
      <w:r>
        <w:rPr>
          <w:sz w:val="20"/>
          <w:szCs w:val="20"/>
        </w:rPr>
        <w:t xml:space="preserve">, </w:t>
      </w:r>
      <w:r>
        <w:rPr>
          <w:sz w:val="20"/>
          <w:szCs w:val="20"/>
        </w:rPr>
        <w:t xml:space="preserve">DateReformeEX</w:t>
      </w:r>
      <w:r>
        <w:rPr>
          <w:sz w:val="20"/>
          <w:szCs w:val="20"/>
        </w:rPr>
        <w:t xml:space="preserve">, </w:t>
      </w:r>
      <w:r>
        <w:rPr>
          <w:sz w:val="20"/>
          <w:szCs w:val="20"/>
        </w:rPr>
        <w:t xml:space="preserve">CodeP#</w:t>
      </w:r>
      <w:r>
        <w:rPr>
          <w:sz w:val="20"/>
          <w:szCs w:val="20"/>
        </w:rPr>
        <w:t xml:space="preserve">, </w:t>
      </w:r>
      <w:r>
        <w:rPr>
          <w:sz w:val="20"/>
          <w:szCs w:val="20"/>
        </w:rPr>
        <w:t xml:space="preserve">CodeAG#</w:t>
      </w:r>
      <w:r>
        <w:rPr>
          <w:sz w:val="20"/>
          <w:szCs w:val="20"/>
        </w:rPr>
        <w:t xml:space="preserve">)</w:t>
      </w:r>
      <w:r>
        <w:rPr>
          <w:i/>
          <w:iCs/>
          <w:color w:val="808080"/>
          <w:sz w:val="16"/>
          <w:szCs w:val="16"/>
        </w:rPr>
        <w:t xml:space="preserve">   [V1 modifiée]</w:t>
      </w:r>
    </w:p>
    <w:p>
      <w:pPr>
        <w:pStyle w:val="ListParagraph"/>
        <w:numPr>
          <w:ilvl w:val="0"/>
          <w:numId w:val="2"/>
        </w:numPr>
        <w:spacing w:after="40"/>
      </w:pPr>
      <w:r>
        <w:rPr>
          <w:b/>
          <w:bCs/>
          <w:color w:val="1F4E79"/>
          <w:sz w:val="20"/>
          <w:szCs w:val="20"/>
        </w:rPr>
        <w:t xml:space="preserve">REDUCTION</w:t>
      </w:r>
      <w:r>
        <w:rPr>
          <w:sz w:val="20"/>
          <w:szCs w:val="20"/>
        </w:rPr>
        <w:t xml:space="preserve">(</w:t>
      </w:r>
      <w:r>
        <w:rPr>
          <w:sz w:val="20"/>
          <w:szCs w:val="20"/>
          <w:u w:val="single"/>
        </w:rPr>
        <w:t xml:space="preserve">CodeG#</w:t>
      </w:r>
      <w:r>
        <w:rPr>
          <w:sz w:val="20"/>
          <w:szCs w:val="20"/>
        </w:rPr>
        <w:t xml:space="preserve">, </w:t>
      </w:r>
      <w:r>
        <w:rPr>
          <w:sz w:val="20"/>
          <w:szCs w:val="20"/>
          <w:u w:val="single"/>
        </w:rPr>
        <w:t xml:space="preserve">CodeCAT#</w:t>
      </w:r>
      <w:r>
        <w:rPr>
          <w:sz w:val="20"/>
          <w:szCs w:val="20"/>
        </w:rPr>
        <w:t xml:space="preserve">, </w:t>
      </w:r>
      <w:r>
        <w:rPr>
          <w:sz w:val="20"/>
          <w:szCs w:val="20"/>
          <w:u w:val="single"/>
        </w:rPr>
        <w:t xml:space="preserve">Annee</w:t>
      </w:r>
      <w:r>
        <w:rPr>
          <w:sz w:val="20"/>
          <w:szCs w:val="20"/>
        </w:rPr>
        <w:t xml:space="preserve">, </w:t>
      </w:r>
      <w:r>
        <w:rPr>
          <w:sz w:val="20"/>
          <w:szCs w:val="20"/>
        </w:rPr>
        <w:t xml:space="preserve">PctReduc_Loc</w:t>
      </w:r>
      <w:r>
        <w:rPr>
          <w:sz w:val="20"/>
          <w:szCs w:val="20"/>
        </w:rPr>
        <w:t xml:space="preserve">, </w:t>
      </w:r>
      <w:r>
        <w:rPr>
          <w:sz w:val="20"/>
          <w:szCs w:val="20"/>
        </w:rPr>
        <w:t xml:space="preserve">PctReduc_Achat</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1F4E79"/>
          <w:sz w:val="20"/>
          <w:szCs w:val="20"/>
        </w:rPr>
        <w:t xml:space="preserve">ACHAT</w:t>
      </w:r>
      <w:r>
        <w:rPr>
          <w:sz w:val="20"/>
          <w:szCs w:val="20"/>
        </w:rPr>
        <w:t xml:space="preserve">(</w:t>
      </w:r>
      <w:r>
        <w:rPr>
          <w:sz w:val="20"/>
          <w:szCs w:val="20"/>
          <w:u w:val="single"/>
        </w:rPr>
        <w:t xml:space="preserve">CodeP#</w:t>
      </w:r>
      <w:r>
        <w:rPr>
          <w:sz w:val="20"/>
          <w:szCs w:val="20"/>
        </w:rPr>
        <w:t xml:space="preserve">, </w:t>
      </w:r>
      <w:r>
        <w:rPr>
          <w:sz w:val="20"/>
          <w:szCs w:val="20"/>
          <w:u w:val="single"/>
        </w:rPr>
        <w:t xml:space="preserve">CodeE#</w:t>
      </w:r>
      <w:r>
        <w:rPr>
          <w:sz w:val="20"/>
          <w:szCs w:val="20"/>
        </w:rPr>
        <w:t xml:space="preserve">, </w:t>
      </w:r>
      <w:r>
        <w:rPr>
          <w:sz w:val="20"/>
          <w:szCs w:val="20"/>
          <w:u w:val="single"/>
        </w:rPr>
        <w:t xml:space="preserve">DateA</w:t>
      </w:r>
      <w:r>
        <w:rPr>
          <w:sz w:val="20"/>
          <w:szCs w:val="20"/>
        </w:rPr>
        <w:t xml:space="preserve">, </w:t>
      </w:r>
      <w:r>
        <w:rPr>
          <w:sz w:val="20"/>
          <w:szCs w:val="20"/>
        </w:rPr>
        <w:t xml:space="preserve">Qte</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1F4E79"/>
          <w:sz w:val="20"/>
          <w:szCs w:val="20"/>
        </w:rPr>
        <w:t xml:space="preserve">RESERVER</w:t>
      </w:r>
      <w:r>
        <w:rPr>
          <w:sz w:val="20"/>
          <w:szCs w:val="20"/>
        </w:rPr>
        <w:t xml:space="preserve">(</w:t>
      </w:r>
      <w:r>
        <w:rPr>
          <w:sz w:val="20"/>
          <w:szCs w:val="20"/>
          <w:u w:val="single"/>
        </w:rPr>
        <w:t xml:space="preserve">CodeP#</w:t>
      </w:r>
      <w:r>
        <w:rPr>
          <w:sz w:val="20"/>
          <w:szCs w:val="20"/>
        </w:rPr>
        <w:t xml:space="preserve">, </w:t>
      </w:r>
      <w:r>
        <w:rPr>
          <w:sz w:val="20"/>
          <w:szCs w:val="20"/>
          <w:u w:val="single"/>
        </w:rPr>
        <w:t xml:space="preserve">CodeE#</w:t>
      </w:r>
      <w:r>
        <w:rPr>
          <w:sz w:val="20"/>
          <w:szCs w:val="20"/>
        </w:rPr>
        <w:t xml:space="preserve">, </w:t>
      </w:r>
      <w:r>
        <w:rPr>
          <w:sz w:val="20"/>
          <w:szCs w:val="20"/>
          <w:u w:val="single"/>
        </w:rPr>
        <w:t xml:space="preserve">DateLPrev</w:t>
      </w:r>
      <w:r>
        <w:rPr>
          <w:sz w:val="20"/>
          <w:szCs w:val="20"/>
        </w:rPr>
        <w:t xml:space="preserve">, </w:t>
      </w:r>
      <w:r>
        <w:rPr>
          <w:sz w:val="20"/>
          <w:szCs w:val="20"/>
        </w:rPr>
        <w:t xml:space="preserve">Nb_Ex_Prev</w:t>
      </w:r>
      <w:r>
        <w:rPr>
          <w:sz w:val="20"/>
          <w:szCs w:val="20"/>
        </w:rPr>
        <w:t xml:space="preserve">, </w:t>
      </w:r>
      <w:r>
        <w:rPr>
          <w:sz w:val="20"/>
          <w:szCs w:val="20"/>
        </w:rPr>
        <w:t xml:space="preserve">DateResa</w:t>
      </w:r>
      <w:r>
        <w:rPr>
          <w:sz w:val="20"/>
          <w:szCs w:val="20"/>
        </w:rPr>
        <w:t xml:space="preserve">, </w:t>
      </w:r>
      <w:r>
        <w:rPr>
          <w:sz w:val="20"/>
          <w:szCs w:val="20"/>
        </w:rPr>
        <w:t xml:space="preserve">Duree_Prev</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1F4E79"/>
          <w:sz w:val="20"/>
          <w:szCs w:val="20"/>
        </w:rPr>
        <w:t xml:space="preserve">LOUER</w:t>
      </w:r>
      <w:r>
        <w:rPr>
          <w:sz w:val="20"/>
          <w:szCs w:val="20"/>
        </w:rPr>
        <w:t xml:space="preserve">(</w:t>
      </w:r>
      <w:r>
        <w:rPr>
          <w:sz w:val="20"/>
          <w:szCs w:val="20"/>
          <w:u w:val="single"/>
        </w:rPr>
        <w:t xml:space="preserve">CodeEX#</w:t>
      </w:r>
      <w:r>
        <w:rPr>
          <w:sz w:val="20"/>
          <w:szCs w:val="20"/>
        </w:rPr>
        <w:t xml:space="preserve">, </w:t>
      </w:r>
      <w:r>
        <w:rPr>
          <w:sz w:val="20"/>
          <w:szCs w:val="20"/>
          <w:u w:val="single"/>
        </w:rPr>
        <w:t xml:space="preserve">CodeE#</w:t>
      </w:r>
      <w:r>
        <w:rPr>
          <w:sz w:val="20"/>
          <w:szCs w:val="20"/>
        </w:rPr>
        <w:t xml:space="preserve">, </w:t>
      </w:r>
      <w:r>
        <w:rPr>
          <w:sz w:val="20"/>
          <w:szCs w:val="20"/>
          <w:u w:val="single"/>
        </w:rPr>
        <w:t xml:space="preserve">DateL</w:t>
      </w:r>
      <w:r>
        <w:rPr>
          <w:sz w:val="20"/>
          <w:szCs w:val="20"/>
        </w:rPr>
        <w:t xml:space="preserve">, </w:t>
      </w:r>
      <w:r>
        <w:rPr>
          <w:sz w:val="20"/>
          <w:szCs w:val="20"/>
        </w:rPr>
        <w:t xml:space="preserve">Duree_Loc</w:t>
      </w:r>
      <w:r>
        <w:rPr>
          <w:sz w:val="20"/>
          <w:szCs w:val="20"/>
        </w:rPr>
        <w:t xml:space="preserve">)</w:t>
      </w:r>
      <w:r>
        <w:rPr>
          <w:i/>
          <w:iCs/>
          <w:color w:val="808080"/>
          <w:sz w:val="16"/>
          <w:szCs w:val="16"/>
        </w:rPr>
        <w:t xml:space="preserve">   [V1]</w:t>
      </w:r>
    </w:p>
    <w:p>
      <w:pPr>
        <w:spacing w:after="40"/>
      </w:pPr>
      <w:r>
        <w:rPr>
          <w:rFonts w:ascii="Calibri" w:cs="Calibri" w:eastAsia="Calibri" w:hAnsi="Calibri"/>
          <w:b/>
          <w:bCs/>
          <w:sz w:val="20"/>
          <w:szCs w:val="20"/>
        </w:rPr>
        <w:t xml:space="preserve">Règles de passage appliquées :</w:t>
      </w:r>
    </w:p>
    <w:p>
      <w:pPr>
        <w:pStyle w:val="ListParagraph"/>
        <w:numPr>
          <w:ilvl w:val="0"/>
          <w:numId w:val="2"/>
        </w:numPr>
        <w:spacing w:after="60"/>
      </w:pPr>
      <w:r>
        <w:rPr>
          <w:sz w:val="20"/>
          <w:szCs w:val="20"/>
        </w:rPr>
        <w:t xml:space="preserve">Chaque entité devient une table ; chaque association 1,1 devient une clé étrangère du côté 1,1 (ex. CodeGEN# dans PRODUIT).</w:t>
      </w:r>
    </w:p>
    <w:p>
      <w:pPr>
        <w:pStyle w:val="ListParagraph"/>
        <w:numPr>
          <w:ilvl w:val="0"/>
          <w:numId w:val="2"/>
        </w:numPr>
        <w:spacing w:after="60"/>
      </w:pPr>
      <w:r>
        <w:rPr>
          <w:sz w:val="20"/>
          <w:szCs w:val="20"/>
        </w:rPr>
        <w:t xml:space="preserve">Les associations réflexives (Décomposer, Hiérarchiser, Englober) deviennent une clé étrangère vers la même table (CodeDO_Sup#, CodeCJ_Sup#, CodeZG_Sup#).</w:t>
      </w:r>
    </w:p>
    <w:p>
      <w:pPr>
        <w:pStyle w:val="ListParagraph"/>
        <w:numPr>
          <w:ilvl w:val="0"/>
          <w:numId w:val="2"/>
        </w:numPr>
        <w:spacing w:after="60"/>
      </w:pPr>
      <w:r>
        <w:rPr>
          <w:sz w:val="20"/>
          <w:szCs w:val="20"/>
        </w:rPr>
        <w:t xml:space="preserve">Les associations n-aires porteuses de données deviennent des tables (TARIF, REDUCTION, EXERCER, ACHAT, RESERVER, LOUER). Comme dans la V1, les entités JOUR et ANNEE ne donnent pas de table : la date et l'année sont des attributs.</w:t>
      </w:r>
    </w:p>
    <w:p>
      <w:pPr>
        <w:pStyle w:val="ListParagraph"/>
        <w:numPr>
          <w:ilvl w:val="0"/>
          <w:numId w:val="2"/>
        </w:numPr>
        <w:spacing w:after="60"/>
      </w:pPr>
      <w:r>
        <w:rPr>
          <w:sz w:val="20"/>
          <w:szCs w:val="20"/>
        </w:rPr>
        <w:t xml:space="preserve">EXERCER : un employé n'exerce qu'un métier à une date donnée, la clé est donc réduite à (CodeE, DateDebutMetier) et CodeAPP devient une simple clé étrangère.</w:t>
      </w:r>
    </w:p>
    <w:p>
      <w:pPr>
        <w:pStyle w:val="ListParagraph"/>
        <w:numPr>
          <w:ilvl w:val="0"/>
          <w:numId w:val="2"/>
        </w:numPr>
        <w:spacing w:after="60"/>
      </w:pPr>
      <w:r>
        <w:rPr>
          <w:sz w:val="20"/>
          <w:szCs w:val="20"/>
        </w:rPr>
        <w:t xml:space="preserve">PRODUIT perd Prix_loc_Jour et Prix_vente, historisés dans TARIF par pays et par période. Les colonnes %Reduc_Loc et %Reduc_Achat sont renommées PctReduc_Loc et PctReduc_Achat (le caractère % est interdit dans les noms Oracle).</w:t>
      </w:r>
    </w:p>
    <w:p>
      <w:pPr>
        <w:pStyle w:val="Heading2"/>
      </w:pPr>
      <w:r>
        <w:t xml:space="preserve">Dictionnaire des données de l'ED V2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400"/>
        <w:gridCol w:w="2100"/>
        <w:gridCol w:w="3700"/>
      </w:tblGrid>
      <w:tr>
        <w:trPr>
          <w:tblHeader/>
        </w:trPr>
        <w:tc>
          <w:tcPr>
            <w:tcW w:type="dxa" w:w="23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Nom du champ</w:t>
            </w:r>
          </w:p>
        </w:tc>
        <w:tc>
          <w:tcPr>
            <w:tcW w:type="dxa" w:w="1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Table</w:t>
            </w:r>
          </w:p>
        </w:tc>
        <w:tc>
          <w:tcPr>
            <w:tcW w:type="dxa" w:w="4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Description</w:t>
            </w:r>
          </w:p>
        </w:tc>
        <w:tc>
          <w:tcPr>
            <w:tcW w:type="dxa" w:w="21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Type Oracle</w:t>
            </w:r>
          </w:p>
        </w:tc>
        <w:tc>
          <w:tcPr>
            <w:tcW w:type="dxa" w:w="3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Contrainte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CodePays</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PAYS</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 ISO du pays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CHAR(2)</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{FR, DE}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NomPays</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PAYS</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Nom du pays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NOT NULL</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TauxTVA</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PAYS</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Taux normal de TVA du pays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NUMBER(4,3)</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FR : 0,20 ; DE : 0,19</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CodeZG</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ZONE_GEO</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 unique d'une zone géographique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NomZG</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ZONE_GEO</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Nom de la zone (commune, département, région, Gemeinde, Kreis, district, Land)</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NOT NULL</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NiveauZG</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ZONE_GEO</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Niveau de la zone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VARCHAR2(20)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{COMMUNE, DEPARTEMENT, REGION, GEMEINDE, KREIS, DISTRICT, LAND}</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CodeZG_Sup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ZONE_GEO</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Zone englobante (vide pour le plus haut niveau)</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FK vers ZONE_GEO</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CodeDO / NomDO / CodeDO_Sup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DOMAINE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Domaine d'activité et son super-domaine (V1)</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CHAR(7) / VARCHAR2(100)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Masque 999-999</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CodeCJ / LibelleCJ</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CATEGORIE_JURIDIQUE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Catégorie juridique INSEE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VARCHAR2(4) / VARCHAR2(150)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NiveauCJ</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CATEGORIE_JURIDIQUE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Niveau dans la nomenclature INSEE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NUMBER(1)</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{1, 2, 3}</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CodeCJ_Sup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CATEGORIE_JURIDIQUE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Catégorie de niveau supérieur</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VARCHAR2(4)</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FK ; vide si NiveauCJ = 1</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CodeSOC</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SOCIETE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 unique d'une société (SIRET pour la France)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VARCHAR2(14)</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NomSOC</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SOCIETE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Nom de la société</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NOT NULL</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TypeSOC</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SOCIETE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Type d'entreprise INSEE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VARCHAR2(30)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{MICRO, PME, ETI, GE} ; vide pour DE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CodeSE / NomSE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SERVICE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Service d'une société (V1)</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CodeSE &gt; 0</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CodeCAT / NomCAT / SuperCAT</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CATEGORIE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Profil et classe de trajet (V1, annexe 2)</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CHAR(5) / VARCHAR2(100)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Masque AA-99</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CodeE / NomE / PrenomE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EMPLOYE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Employé (V1)</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CodeE &gt; 0</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MatriculeSAL / SIRET</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EMPLOYE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Correspondance avec le portail RH (RG6)</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VARCHAR2(20) / VARCHAR2(14)</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UNIQUE ; vides pour DE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DateNaissE / DateEntreeE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EMPLOYE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Dates de naissance et d'entrée dans la société</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DateEntreeE &gt; DateNaissE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CPResidenceE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EMPLOYE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 postal de résidence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CodeGD / LibelleGD</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GRAND_DOMAINE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Grand domaine ROME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CHAR(1) / VARCHAR2(100)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 M</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CodeDP / LibelleDP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DOMAINE_PRO</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Domaine professionnel ROME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CHAR(3) / VARCHAR2(150)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 M18</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CodeROME / LibelleMetier</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FICHE_METIER</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Fiche métier ROME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CHAR(5) / VARCHAR2(150)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 M1805</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CodeAPP / LibelleAPP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APPELLATION</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Appellation ROME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VARCHAR2(6) / VARCHAR2(200)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DateDebutMetier / DateFinMetier</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EXERCER</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Période d'exercice d'un métier par un employé (RG9)</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DateFinMetier &gt; DateDebutMetier ou vide (métier actuel)</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TypeContrat</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EXERCER</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Type de contrat pendant la période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VARCHAR2(20)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{CDI, CDD, ALTERNANCE, STAGE, INTERIM}</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CodeFAB / NomFAB / PaysFAB</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FABRICANT</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Fabricant d'une génération</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CodeGEN / NomGEN</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GENERATION</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Génération d'un produit</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DateSortieGEN / DateArretGEN</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GENERATION</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Dates de sortie et d'arrêt</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DateArretGEN &gt; DateSortieGEN ou vide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CodeG / NomG / SecteurG</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GAMME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Gamme et secteur (V1, annexe 3)</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CHAR(5)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CodeP / NomP / MarqueP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PRODUIT</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Produit (V1)</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DescriptifP / PoidsKg / AutonomieKm</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PRODUIT</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Caractéristiques techniques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VARCHAR2(500) / NUMBER(6,2) / NUMBER(5)</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&gt; 0 ; AutonomieKm vide si non électrique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DateDebutTarif / DateFinTarif</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TARIF</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Période de validité du tarif (RG4)</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DateFinTarif &gt; DateDebutTarif ou vide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Prix_loc_jour / Prix_vente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TARIF</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Prix publics de location par jour et de vente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NUMBER(10,2)</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&gt; 0 ; Prix_vente &gt; Prix_loc_jour</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ModePrix</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TARIF</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Mode d'expression du prix (RG5)</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VARCHAR2(3)</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{HT, TTC}</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CodeAG / NomAG / VilleAG</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AGENCE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Agence de rattachement des exemplaires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CodeEX / NumSerieEX</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EXEMPLAIRE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Exemplaire d'un produit</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 / VARCHAR2(30)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CodeEX &gt; 0 ; NumSerieEX UNIQUE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DateMiseServiceEX / DateReformeEX</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EXEMPLAIRE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Dates de mise en service et de réforme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DateReformeEX &gt; DateMiseServiceEX ou vide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Annee / PctReduc_Loc / PctReduc_Achat</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REDUCTION</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Pourcentages de réduction annuels (V1, renommés car % interdit dans Oracle)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NUMBER(4) / NUMBER(4,3)</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&gt; 0 et &lt;= 1</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DateA / Qte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ACHAT</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 et quantité d'un achat (V1)</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 / NUMBER</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DateA &lt;= SYSDATE ; Qte &gt; 0</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DateLPrev / Nb_Ex_Prev / DateResa / Duree_Prev</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RESERVER</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Réservation (V1)</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 / NUMBER</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DateResa &lt;= DateLPrev ; &gt; 0</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DateL / Duree_Loc</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LOUER</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Location d'un exemplaire (V1)</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 / NUMBER</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DateL &lt;= SYSDATE ; Duree_Loc &gt; 0</w:t>
            </w:r>
          </w:p>
        </w:tc>
      </w:tr>
    </w:tbl>
    <w:p>
      <w:pPr>
        <w:spacing w:after="60"/>
      </w:pPr>
      <w:r>
        <w:rPr>
          <w:rFonts w:ascii="Calibri" w:cs="Calibri" w:eastAsia="Calibri" w:hAnsi="Calibri"/>
          <w:sz w:val="21"/>
          <w:szCs w:val="21"/>
        </w:rPr>
        <w:t xml:space="preserve"/>
      </w:r>
    </w:p>
    <w:p>
      <w:pPr>
        <w:pStyle w:val="Heading2"/>
      </w:pPr>
      <w:r>
        <w:t xml:space="preserve">Choix de l'architecture : DSA sans ODS</w:t>
      </w:r>
    </w:p>
    <w:p>
      <w:pPr>
        <w:spacing w:after="120"/>
      </w:pPr>
      <w:r>
        <w:rPr>
          <w:rFonts w:ascii="Calibri" w:cs="Calibri" w:eastAsia="Calibri" w:hAnsi="Calibri"/>
          <w:sz w:val="21"/>
          <w:szCs w:val="21"/>
        </w:rPr>
        <w:t xml:space="preserve">Nous retenons une zone de préparation des données (DSA) mais pas d'ODS. La DSA est indispensable car les sources sont hétérogènes (BD Oracle, BD du portail RH, fichiers CSV et Excel) et demandent des transformations avant chargement : correspondance matricule ↔ CodeE, rapprochement des libellés de services, conversion HT / TTC, rattachement des villes allemandes à leur Land. Un ODS n'est pas justifié : aucun décideur n'a besoin de données opérationnelles en temps réel, les analyses portent sur l'historique et l'alimentation est quotidienne (activité) ou mensuelle (RH).</w:t>
      </w:r>
    </w:p>
    <w:sectPr>
      <w:pgSz w:w="16838" w:h="11906" w:orient="landscape"/>
      <w:pgMar w:top="1000" w:right="1220" w:bottom="100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00"/>
      <w:outlineLvl w:val="0"/>
    </w:pPr>
    <w:rPr>
      <w:rFonts w:ascii="Calibri" w:cs="Calibri" w:eastAsia="Calibri" w:hAnsi="Calibri"/>
      <w:b/>
      <w:bCs/>
      <w:color w:val="1F4E79"/>
      <w:sz w:val="32"/>
      <w:szCs w:val="32"/>
    </w:rPr>
  </w:style>
  <w:style w:type="paragraph" w:styleId="Heading2">
    <w:name w:val="Heading 2"/>
    <w:basedOn w:val="Normal"/>
    <w:next w:val="Normal"/>
    <w:pPr>
      <w:spacing w:after="12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2026-10-13T07:24:46.193Z</dcterms:created>
  <dcterms:modified xsi:type="dcterms:W3CDTF">2026-10-13T07:24:46.193Z</dcterms:modified>
</cp:coreProperties>
</file>

<file path=docProps/custom.xml><?xml version="1.0" encoding="utf-8"?>
<Properties xmlns="http://schemas.openxmlformats.org/officeDocument/2006/custom-properties" xmlns:vt="http://schemas.openxmlformats.org/officeDocument/2006/docPropsVTypes"/>
</file>