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b/>
          <w:bCs/>
          <w:color w:val="1F4E79"/>
          <w:sz w:val="56"/>
          <w:szCs w:val="56"/>
        </w:rPr>
        <w:t xml:space="preserve">MobiPass V2</w:t>
      </w:r>
    </w:p>
    <w:p>
      <w:pPr>
        <w:spacing w:after="400"/>
        <w:jc w:val="center"/>
      </w:pPr>
      <w:r>
        <w:rPr>
          <w:color w:val="1F4E79"/>
          <w:sz w:val="36"/>
          <w:szCs w:val="36"/>
        </w:rPr>
        <w:t xml:space="preserve">Guide d'utilisation des outils d'analyse</w:t>
      </w:r>
    </w:p>
    <w:p>
      <w:pPr>
        <w:jc w:val="center"/>
      </w:pPr>
      <w:r>
        <w:rPr>
          <w:sz w:val="24"/>
          <w:szCs w:val="24"/>
        </w:rPr>
        <w:t xml:space="preserve">Rapports Power BI « Analyse des locations » et « Analyse des ventes »</w:t>
      </w:r>
    </w:p>
    <w:p>
      <w:pPr>
        <w:spacing w:after="1800"/>
        <w:jc w:val="center"/>
      </w:pPr>
      <w:r>
        <w:rPr>
          <w:sz w:val="24"/>
          <w:szCs w:val="24"/>
        </w:rPr>
        <w:t xml:space="preserve">Magasins de données LOCATION_MD et ACHAT_MD (Oracle 11g)</w:t>
      </w:r>
    </w:p>
    <w:p>
      <w:pPr>
        <w:jc w:val="center"/>
      </w:pPr>
      <w:r>
        <w:rPr>
          <w:sz w:val="22"/>
          <w:szCs w:val="22"/>
        </w:rPr>
        <w:t xml:space="preserve">M2 MIAGE IDA, Université Toulouse Capitole</w:t>
      </w:r>
    </w:p>
    <w:p>
      <w:pPr>
        <w:jc w:val="center"/>
      </w:pPr>
      <w:r>
        <w:rPr>
          <w:sz w:val="22"/>
          <w:szCs w:val="22"/>
        </w:rPr>
        <w:t xml:space="preserve">Cours « Conception et développement de BD décisionnelles » (F. Ravat)</w:t>
      </w:r>
    </w:p>
    <w:p>
      <w:pPr>
        <w:jc w:val="center"/>
      </w:pPr>
      <w:r>
        <w:rPr>
          <w:sz w:val="22"/>
          <w:szCs w:val="22"/>
        </w:rPr>
        <w:t xml:space="preserve">Octobre 2026</w:t>
      </w:r>
    </w:p>
    <w:p>
      <w:r>
        <w:br w:type="page"/>
      </w:r>
    </w:p>
    <w:p>
      <w:pPr>
        <w:pStyle w:val="Heading1"/>
      </w:pPr>
      <w:r>
        <w:t xml:space="preserve">1. À qui s'adresse ce guide</w:t>
      </w:r>
    </w:p>
    <w:p>
      <w:pPr>
        <w:spacing w:after="120"/>
      </w:pPr>
      <w:r>
        <w:t xml:space="preserve">Ce guide explique comment ouvrir, actualiser et lire les deux rapports Power BI livrés avec le prototype MobiPass V2. Chaque rapport est branché sur un magasin de données de l'entrepôt Oracle.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2400"/>
        <w:gridCol w:w="2338"/>
      </w:tblGrid>
      <w:tr>
        <w:trPr>
          <w:tblHeader/>
        </w:trPr>
        <w:tc>
          <w:tcPr>
            <w:tcW w:type="dxa" w:w="2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Fichier</w:t>
            </w:r>
          </w:p>
        </w:tc>
        <w:tc>
          <w:tcPr>
            <w:tcW w:type="dxa" w:w="2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Magasin interrogé</w:t>
            </w:r>
          </w:p>
        </w:tc>
        <w:tc>
          <w:tcPr>
            <w:tcW w:type="dxa" w:w="23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Destinataires</w:t>
            </w:r>
          </w:p>
        </w:tc>
      </w:tr>
      <w:tr>
        <w:tc>
          <w:tcPr>
            <w:tcW w:type="dxa" w:w="2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des locations</w:t>
            </w:r>
          </w:p>
        </w:tc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powerbi/TB Analyse Location.pbix</w:t>
            </w:r>
          </w:p>
        </w:tc>
        <w:tc>
          <w:tcPr>
            <w:tcW w:type="dxa" w:w="2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LOCATION_MD (tables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*_MD1</w:t>
            </w:r>
            <w:r>
              <w:t xml:space="preserve">)</w:t>
            </w:r>
          </w:p>
        </w:tc>
        <w:tc>
          <w:tcPr>
            <w:tcW w:type="dxa" w:w="23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Responsable des locations</w:t>
            </w:r>
          </w:p>
        </w:tc>
      </w:tr>
      <w:tr>
        <w:tc>
          <w:tcPr>
            <w:tcW w:type="dxa" w:w="2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des ventes</w:t>
            </w:r>
          </w:p>
        </w:tc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powerbi/TB Analyse Achats.pbix</w:t>
            </w:r>
          </w:p>
        </w:tc>
        <w:tc>
          <w:tcPr>
            <w:tcW w:type="dxa" w:w="2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ACHAT_MD (tables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*_MD2</w:t>
            </w:r>
            <w:r>
              <w:t xml:space="preserve">)</w:t>
            </w:r>
          </w:p>
        </w:tc>
        <w:tc>
          <w:tcPr>
            <w:tcW w:type="dxa" w:w="23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Responsables des ventes de Lyon (France) et de Berlin (Allemagne)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Les deux rapports suivent la même présentation : un bandeau bleu avec le titre de la page, des segments (filtres) à gauche et les graphiques au centre. Ce qui est expliqué pour l'un vaut donc pour l'autre.</w:t>
      </w:r>
    </w:p>
    <w:p>
      <w:pPr>
        <w:pStyle w:val="Heading2"/>
      </w:pPr>
      <w:r>
        <w:t xml:space="preserve">Ce que contiennent les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données sont </w:t>
      </w:r>
      <w:r>
        <w:rPr>
          <w:b/>
          <w:bCs/>
        </w:rPr>
        <w:t xml:space="preserve">fictives</w:t>
      </w:r>
      <w:r>
        <w:t xml:space="preserve">, générées pour le prototype, mais respectent les règles de gestion de MobiPass (tarifs par pays, réductions par catégorie d'employé, gamme et année).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L'historique commence en </w:t>
      </w:r>
      <w:r>
        <w:rPr>
          <w:b/>
          <w:bCs/>
        </w:rPr>
        <w:t xml:space="preserve">octobre 2024</w:t>
      </w:r>
      <w:r>
        <w:t xml:space="preserve">. L'année 2024 ne compte donc que trois mois, ce qui explique des évolutions très fortes entre 2024 et 2025 dans les comparaisons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</w:t>
      </w:r>
      <w:r>
        <w:rPr>
          <w:b/>
          <w:bCs/>
        </w:rPr>
        <w:t xml:space="preserve">montants réellement payés</w:t>
      </w:r>
      <w:r>
        <w:t xml:space="preserve"> tiennent compte des réductions accordées aux employés. Ils sont exprimés </w:t>
      </w:r>
      <w:r>
        <w:rPr>
          <w:b/>
          <w:bCs/>
        </w:rPr>
        <w:t xml:space="preserve">TTC</w:t>
      </w:r>
      <w:r>
        <w:t xml:space="preserve"> (c'est ce que l'employé dépense). Le </w:t>
      </w:r>
      <w:r>
        <w:rPr>
          <w:b/>
          <w:bCs/>
        </w:rPr>
        <w:t xml:space="preserve">bénéfice</w:t>
      </w:r>
      <w:r>
        <w:t xml:space="preserve"> est toujours </w:t>
      </w:r>
      <w:r>
        <w:rPr>
          <w:b/>
          <w:bCs/>
        </w:rPr>
        <w:t xml:space="preserve">HT</w:t>
      </w:r>
      <w:r>
        <w:t xml:space="preserve">, car la TVA est reversée à l'État.</w:t>
      </w:r>
    </w:p>
    <w:p>
      <w:pPr>
        <w:pStyle w:val="Heading1"/>
      </w:pPr>
      <w:r>
        <w:t xml:space="preserve">2. Ouvrir et actualiser un rapport</w:t>
      </w:r>
    </w:p>
    <w:p>
      <w:pPr>
        <w:pStyle w:val="Heading2"/>
      </w:pPr>
      <w:r>
        <w:t xml:space="preserve">Prérequis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Power BI Desktop</w:t>
      </w:r>
      <w:r>
        <w:t xml:space="preserve"> (version récente, sous Windows).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</w:t>
      </w:r>
      <w:r>
        <w:rPr>
          <w:b/>
          <w:bCs/>
        </w:rPr>
        <w:t xml:space="preserve">compte Oracle</w:t>
      </w:r>
      <w:r>
        <w:t xml:space="preserve"> sur le serveur de l'université, sur lequel les scripts de l'entrepôt et des magasins ont été exécutés (voir le dossier </w:t>
      </w:r>
      <w:r>
        <w:rPr>
          <w:rFonts w:ascii="Consolas" w:cs="Consolas" w:eastAsia="Consolas" w:hAnsi="Consolas"/>
          <w:sz w:val="19"/>
          <w:szCs w:val="19"/>
        </w:rPr>
        <w:t xml:space="preserve">sql/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accès réseau au serveur Oracle : depuis un poste de l'université, la connexion est directe ; depuis l'extérieur, il faut d'abord ouvrir le tunnel SSH fourni par l'université.</w:t>
      </w:r>
    </w:p>
    <w:p>
      <w:pPr>
        <w:pStyle w:val="Heading2"/>
      </w:pPr>
      <w:r>
        <w:t xml:space="preserve">Brancher le rapport sur votre schéma Oracle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Ouvrez le fichier </w:t>
      </w:r>
      <w:r>
        <w:rPr>
          <w:rFonts w:ascii="Consolas" w:cs="Consolas" w:eastAsia="Consolas" w:hAnsi="Consolas"/>
          <w:sz w:val="19"/>
          <w:szCs w:val="19"/>
        </w:rPr>
        <w:t xml:space="preserve">.pbix</w:t>
      </w:r>
      <w:r>
        <w:t xml:space="preserve"> dans Power BI Desktop.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Onglet </w:t>
      </w:r>
      <w:r>
        <w:rPr>
          <w:b/>
          <w:bCs/>
        </w:rPr>
        <w:t xml:space="preserve">Accueil</w:t>
      </w:r>
      <w:r>
        <w:t xml:space="preserve">, cliquez sur </w:t>
      </w:r>
      <w:r>
        <w:rPr>
          <w:b/>
          <w:bCs/>
        </w:rPr>
        <w:t xml:space="preserve">Transformer les données</w:t>
      </w:r>
      <w:r>
        <w:t xml:space="preserve">, puis sur </w:t>
      </w:r>
      <w:r>
        <w:rPr>
          <w:b/>
          <w:bCs/>
        </w:rPr>
        <w:t xml:space="preserve">Paramètres de la source de données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Sélectionnez la source Oracle, cliquez sur </w:t>
      </w:r>
      <w:r>
        <w:rPr>
          <w:b/>
          <w:bCs/>
        </w:rPr>
        <w:t xml:space="preserve">Changer la source</w:t>
      </w:r>
      <w:r>
        <w:t xml:space="preserve"> et saisissez le serveur : </w:t>
      </w:r>
      <w:r>
        <w:rPr>
          <w:rFonts w:ascii="Consolas" w:cs="Consolas" w:eastAsia="Consolas" w:hAnsi="Consolas"/>
          <w:sz w:val="19"/>
          <w:szCs w:val="19"/>
        </w:rPr>
        <w:t xml:space="preserve">etu-ora2.ut-capitole.fr:1550/siad</w:t>
      </w:r>
      <w:r>
        <w:t xml:space="preserve"> depuis l'université, ou </w:t>
      </w:r>
      <w:r>
        <w:rPr>
          <w:rFonts w:ascii="Consolas" w:cs="Consolas" w:eastAsia="Consolas" w:hAnsi="Consolas"/>
          <w:sz w:val="19"/>
          <w:szCs w:val="19"/>
        </w:rPr>
        <w:t xml:space="preserve">localhost:&lt;port&gt;/siad</w:t>
      </w:r>
      <w:r>
        <w:t xml:space="preserve"> à travers le tunnel SSH.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 xml:space="preserve">Modifier les autorisations</w:t>
      </w:r>
      <w:r>
        <w:t xml:space="preserve">, puis </w:t>
      </w:r>
      <w:r>
        <w:rPr>
          <w:b/>
          <w:bCs/>
        </w:rPr>
        <w:t xml:space="preserve">Modifier</w:t>
      </w:r>
      <w:r>
        <w:t xml:space="preserve"> : choisissez le mode </w:t>
      </w:r>
      <w:r>
        <w:rPr>
          <w:b/>
          <w:bCs/>
        </w:rPr>
        <w:t xml:space="preserve">Base de données</w:t>
      </w:r>
      <w:r>
        <w:t xml:space="preserve"> et saisissez votre identifiant et votre mot de passe Oracle.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Fermez la fenêtre et cliquez sur </w:t>
      </w:r>
      <w:r>
        <w:rPr>
          <w:b/>
          <w:bCs/>
        </w:rPr>
        <w:t xml:space="preserve">Actualiser</w:t>
      </w:r>
      <w:r>
        <w:t xml:space="preserve"> (onglet Accueil). Les visuels se remplissent.</w:t>
      </w:r>
    </w:p>
    <w:p>
      <w:pPr>
        <w:pBdr>
          <w:left w:val="single" w:color="2E75B6" w:sz="18" w:space="6"/>
        </w:pBdr>
        <w:shd w:fill="EAF2FC" w:color="auto" w:val="clear"/>
        <w:spacing w:after="160" w:before="60"/>
        <w:ind w:left="120"/>
      </w:pPr>
      <w:r>
        <w:rPr>
          <w:b/>
          <w:bCs/>
        </w:rPr>
        <w:t xml:space="preserve">Sur un poste partagé</w:t>
      </w:r>
      <w:r>
        <w:t xml:space="preserve"> (salle de TP), effacez vos identifiants à la fin de la séance : </w:t>
      </w:r>
      <w:r>
        <w:rPr>
          <w:b/>
          <w:bCs/>
        </w:rPr>
        <w:t xml:space="preserve">Fichier → Options et paramètres → Paramètres de la source de données</w:t>
      </w:r>
      <w:r>
        <w:t xml:space="preserve">, sélectionnez la source, puis </w:t>
      </w:r>
      <w:r>
        <w:rPr>
          <w:b/>
          <w:bCs/>
        </w:rPr>
        <w:t xml:space="preserve">Effacer les autorisations</w:t>
      </w:r>
      <w:r>
        <w:t xml:space="preserve">.</w:t>
      </w:r>
    </w:p>
    <w:p>
      <w:pPr>
        <w:pStyle w:val="Heading2"/>
      </w:pPr>
      <w:r>
        <w:t xml:space="preserve">Mettre les magasins à jour après un nouveau chargement</w:t>
      </w:r>
    </w:p>
    <w:p>
      <w:pPr>
        <w:spacing w:after="120"/>
      </w:pPr>
      <w:r>
        <w:t xml:space="preserve">Les magasins sont des vues matérialisées rafraîchies à la demande. Après chaque alimentation de l'entrepôt, lancez dans SQL Developer le bloc de rafraîchissement du magasin concerné, puis cliquez sur </w:t>
      </w:r>
      <w:r>
        <w:rPr>
          <w:b/>
          <w:bCs/>
        </w:rPr>
        <w:t xml:space="preserve">Actualiser</w:t>
      </w:r>
      <w:r>
        <w:t xml:space="preserve"> dans Power BI.</w:t>
      </w:r>
    </w:p>
    <w:p>
      <w:pPr>
        <w:spacing w:after="120"/>
      </w:pPr>
      <w:r>
        <w:rPr>
          <w:b/>
          <w:bCs/>
        </w:rPr>
        <w:t xml:space="preserve">Magasin des ventes</w:t>
      </w:r>
      <w:r>
        <w:t xml:space="preserve"> : le bloc se trouve à la fin de </w:t>
      </w:r>
      <w:r>
        <w:rPr>
          <w:rFonts w:ascii="Consolas" w:cs="Consolas" w:eastAsia="Consolas" w:hAnsi="Consolas"/>
          <w:sz w:val="19"/>
          <w:szCs w:val="19"/>
        </w:rPr>
        <w:t xml:space="preserve">sql/md_ventes/01_Achat_MD_structure_agregats.sql</w:t>
      </w:r>
      <w:r>
        <w:t xml:space="preserve">. Il rafraîchit les dimensions, puis le fait, puis les agrégats, dans cet ordre :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BEGIN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DBMS_MVIEW.REFRESH('TEMPS_MD2',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DBMS_MVIEW.REFRESH('PRODUIT_MD2',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DBMS_MVIEW.REFRESH('METIER_MD2',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DBMS_MVIEW.REFRESH('EMPLOYE_MD2',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DBMS_MVIEW.REFRESH('ACHAT_MD2',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DBMS_MVIEW.REFRESH('MV_ACH_GAM_REG_MOIS',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DBMS_MVIEW.REFRESH('MV_ACH_PAYS_MOIS', 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DBMS_MVIEW.REFRESH('MV_ACH_TYPE_CJ_MOIS',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END;</w:t>
      </w:r>
    </w:p>
    <w:p>
      <w:pPr>
        <w:shd w:fill="F2F2F2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</w:t>
      </w:r>
    </w:p>
    <w:p>
      <w:pPr>
        <w:spacing w:after="120"/>
      </w:pPr>
      <w:r>
        <w:rPr>
          <w:b/>
          <w:bCs/>
        </w:rPr>
        <w:t xml:space="preserve">Magasin des locations</w:t>
      </w:r>
      <w:r>
        <w:t xml:space="preserve"> : même principe, dimensions et fait d'abord, puis les agrégats (</w:t>
      </w:r>
      <w:r>
        <w:rPr>
          <w:rFonts w:ascii="Consolas" w:cs="Consolas" w:eastAsia="Consolas" w:hAnsi="Consolas"/>
          <w:sz w:val="19"/>
          <w:szCs w:val="19"/>
        </w:rPr>
        <w:t xml:space="preserve">AGG_MOIS_REGION_MD1</w:t>
      </w:r>
      <w:r>
        <w:t xml:space="preserve"> en dernier, car il est calculé à partir de </w:t>
      </w:r>
      <w:r>
        <w:rPr>
          <w:rFonts w:ascii="Consolas" w:cs="Consolas" w:eastAsia="Consolas" w:hAnsi="Consolas"/>
          <w:sz w:val="19"/>
          <w:szCs w:val="19"/>
        </w:rPr>
        <w:t xml:space="preserve">AGG_MOIS_SOCIETE_MD1</w:t>
      </w:r>
      <w:r>
        <w:t xml:space="preserve">) :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BEGIN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DBMS_MVIEW.REFRESH('TEMPS_MD1',   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DBMS_MVIEW.REFRESH('EXEMPLAIRE_MD1',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DBMS_MVIEW.REFRESH('EMPLOYE_MD1', 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DBMS_MVIEW.REFRESH('LOCATION_MD1', 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DBMS_MVIEW.REFRESH('AGG_SEM_EMPLOYE_MD1',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DBMS_MVIEW.REFRESH('AGG_MOIS_SOCIETE_MD1',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DBMS_MVIEW.REFRESH('AGG_MOIS_REGION_MD1',  method =&gt; 'C');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END;</w:t>
      </w:r>
    </w:p>
    <w:p>
      <w:pPr>
        <w:shd w:fill="F2F2F2" w:color="auto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</w:t>
      </w:r>
    </w:p>
    <w:p>
      <w:pPr>
        <w:pStyle w:val="Heading1"/>
      </w:pPr>
      <w:r>
        <w:t xml:space="preserve">3. Les gestes de base dans Power BI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Pour…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Faites…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Filtrer avec un segment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une valeur du segment (par exemple </w:t>
            </w:r>
            <w:r>
              <w:rPr>
                <w:b/>
                <w:bCs/>
              </w:rPr>
              <w:t xml:space="preserve">France</w:t>
            </w:r>
            <w:r>
              <w:t xml:space="preserve"> ou </w:t>
            </w:r>
            <w:r>
              <w:rPr>
                <w:b/>
                <w:bCs/>
              </w:rPr>
              <w:t xml:space="preserve">2026</w:t>
            </w:r>
            <w:r>
              <w:t xml:space="preserve">). Toute la page est filtrée.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Choisir plusieurs valeurs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Maintenez </w:t>
            </w:r>
            <w:r>
              <w:rPr>
                <w:b/>
                <w:bCs/>
              </w:rPr>
              <w:t xml:space="preserve">Ctrl</w:t>
            </w:r>
            <w:r>
              <w:t xml:space="preserve"> enfoncé en cliquant sur les valeurs (si le segment n'est pas en sélection unique).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Retirer un filtre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la </w:t>
            </w:r>
            <w:r>
              <w:rPr>
                <w:b/>
                <w:bCs/>
              </w:rPr>
              <w:t xml:space="preserve">gomme</w:t>
            </w:r>
            <w:r>
              <w:t xml:space="preserve"> qui apparaît en haut à droite du segment au survol.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Filtrer depuis un graphique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une barre : les autres visuels de la page se limitent à cette valeur. Cliquez à nouveau sur la barre (ou dans le vide) pour annuler.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Voir le détail d'un chiffre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Passez la souris sur une barre ou une cellule : une info-bulle affiche la valeur exacte.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Ouvrir les niveaux d'une matrice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le </w:t>
            </w:r>
            <w:r>
              <w:rPr>
                <w:b/>
                <w:bCs/>
              </w:rPr>
              <w:t xml:space="preserve">+</w:t>
            </w:r>
            <w:r>
              <w:t xml:space="preserve"> devant une année pour afficher ses mois, ou utilisez les flèches en haut du visuel (</w:t>
            </w:r>
            <w:r>
              <w:rPr>
                <w:b/>
                <w:bCs/>
              </w:rPr>
              <w:t xml:space="preserve">Développer tout d'un niveau</w:t>
            </w:r>
            <w:r>
              <w:t xml:space="preserve">).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Descendre dans une hiérarchie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Sur un graphique avec plusieurs niveaux (secteur puis gamme, catégorie puis sous-catégorie), utilisez les flèches en haut du visuel.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Agrandir un visuel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Survolez-le et cliquez sur l'icône </w:t>
            </w:r>
            <w:r>
              <w:rPr>
                <w:b/>
                <w:bCs/>
              </w:rPr>
              <w:t xml:space="preserve">Mode Focus</w:t>
            </w:r>
            <w:r>
              <w:t xml:space="preserve"> ; </w:t>
            </w:r>
            <w:r>
              <w:rPr>
                <w:b/>
                <w:bCs/>
              </w:rPr>
              <w:t xml:space="preserve">Retour au rapport</w:t>
            </w:r>
            <w:r>
              <w:t xml:space="preserve"> pour revenir.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Récupérer les chiffres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Cliquez sur </w:t>
            </w:r>
            <w:r>
              <w:rPr>
                <w:b/>
                <w:bCs/>
              </w:rPr>
              <w:t xml:space="preserve">…</w:t>
            </w:r>
            <w:r>
              <w:t xml:space="preserve"> en haut du visuel, puis </w:t>
            </w:r>
            <w:r>
              <w:rPr>
                <w:b/>
                <w:bCs/>
              </w:rPr>
              <w:t xml:space="preserve">Exporter les données</w:t>
            </w:r>
            <w:r>
              <w:t xml:space="preserve"> (fichier CSV ou Excel).</w:t>
            </w:r>
          </w:p>
        </w:tc>
      </w:tr>
      <w:tr>
        <w:tc>
          <w:tcPr>
            <w:tcW w:type="dxa" w:w="3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Changer de page</w:t>
            </w:r>
          </w:p>
        </w:tc>
        <w:tc>
          <w:tcPr>
            <w:tcW w:type="dxa" w:w="6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Utilisez les onglets en bas de l'écran.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Le rapport « Analyse des locations »</w:t>
      </w:r>
    </w:p>
    <w:p>
      <w:pPr>
        <w:spacing w:after="120"/>
      </w:pPr>
      <w:r>
        <w:t xml:space="preserve">Fichier </w:t>
      </w:r>
      <w:r>
        <w:rPr>
          <w:rFonts w:ascii="Consolas" w:cs="Consolas" w:eastAsia="Consolas" w:hAnsi="Consolas"/>
          <w:sz w:val="19"/>
          <w:szCs w:val="19"/>
        </w:rPr>
        <w:t xml:space="preserve">powerbi/TB Analyse Location.pbix</w:t>
      </w:r>
      <w:r>
        <w:t xml:space="preserve">. Il répond aux besoins du responsable des locations : durées, montants au prix public et montants réellement payés, par semaine, mois et année, selon les exemplaires et les employés.</w:t>
      </w:r>
    </w:p>
    <w:p>
      <w:pPr>
        <w:spacing w:after="120"/>
      </w:pPr>
      <w:r>
        <w:t xml:space="preserve">Les trois premières pages interrogent directement les </w:t>
      </w:r>
      <w:r>
        <w:rPr>
          <w:b/>
          <w:bCs/>
        </w:rPr>
        <w:t xml:space="preserve">agrégats</w:t>
      </w:r>
      <w:r>
        <w:t xml:space="preserve"> (vues matérialisées du treillis), les deux dernières interrogent le </w:t>
      </w:r>
      <w:r>
        <w:rPr>
          <w:b/>
          <w:bCs/>
        </w:rPr>
        <w:t xml:space="preserve">fait détaillé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LOCATION_MD1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00"/>
        <w:gridCol w:w="2700"/>
        <w:gridCol w:w="1938"/>
      </w:tblGrid>
      <w:tr>
        <w:trPr>
          <w:tblHeader/>
        </w:trPr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Page</w:t>
            </w:r>
          </w:p>
        </w:tc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Question à laquelle elle répond</w:t>
            </w:r>
          </w:p>
        </w:tc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Contenu</w:t>
            </w:r>
          </w:p>
        </w:tc>
        <w:tc>
          <w:tcPr>
            <w:tcW w:type="dxa" w:w="19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1</w:t>
            </w:r>
          </w:p>
        </w:tc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Combien chaque société a-t-elle réellement payé en locations, mois par mois ?</w:t>
            </w:r>
          </w:p>
        </w:tc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Matrice : type de société puis société en lignes, mois en colonnes ; segment Année</w:t>
            </w:r>
          </w:p>
        </w:tc>
        <w:tc>
          <w:tcPr>
            <w:tcW w:type="dxa" w:w="19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AGG_MOIS_SOCIETE_MD1</w:t>
            </w:r>
          </w:p>
        </w:tc>
      </w:tr>
      <w:tr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2</w:t>
            </w:r>
          </w:p>
        </w:tc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Combien chaque salarié a-t-il payé, et combien de temps a-t-il loué, chaque semaine ?</w:t>
            </w:r>
          </w:p>
        </w:tc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Matrice : nom et prénom en lignes, semaines en colonnes, montant payé et durée ; segment Année</w:t>
            </w:r>
          </w:p>
        </w:tc>
        <w:tc>
          <w:tcPr>
            <w:tcW w:type="dxa" w:w="19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AGG_SEM_EMPLOYE_MD1</w:t>
            </w:r>
          </w:p>
        </w:tc>
      </w:tr>
      <w:tr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Analyse 3</w:t>
            </w:r>
          </w:p>
        </w:tc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Quelle est la durée de location par région française ou par Land allemand, mois par mois ?</w:t>
            </w:r>
          </w:p>
        </w:tc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Matrice : pays puis région / Land en lignes, mois en colonnes ; segment Année</w:t>
            </w:r>
          </w:p>
        </w:tc>
        <w:tc>
          <w:tcPr>
            <w:tcW w:type="dxa" w:w="19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AGG_MOIS_REGION_MD1</w:t>
            </w:r>
          </w:p>
        </w:tc>
      </w:tr>
      <w:tr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Synthèse 1</w:t>
            </w:r>
          </w:p>
        </w:tc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Vue d'ensemble : évolution, marques, secteurs et territoires</w:t>
            </w:r>
          </w:p>
        </w:tc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Graphique combiné par semaine (durée, montant au prix public, montant payé) ; montant par marque ; carte par région ; montant par secteur puis gamme ; segments Année, Pays, Société</w:t>
            </w:r>
          </w:p>
        </w:tc>
        <w:tc>
          <w:tcPr>
            <w:tcW w:type="dxa" w:w="19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LOCATION_MD1</w:t>
            </w:r>
          </w:p>
        </w:tc>
      </w:tr>
      <w:tr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Synthèse 2</w:t>
            </w:r>
          </w:p>
        </w:tc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Comment évoluent les locations par rapport à l'année précédente ?</w:t>
            </w:r>
          </w:p>
        </w:tc>
        <w:tc>
          <w:tcPr>
            <w:tcW w:type="dxa" w:w="2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Matrice année / mois avec comparaison N / N-1 ; montant par catégorie d'employé et par société / service ; segments montant affiché, type de société, gamme, marque</w:t>
            </w:r>
          </w:p>
        </w:tc>
        <w:tc>
          <w:tcPr>
            <w:tcW w:type="dxa" w:w="19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LOCATION_MD1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Lire les pages d'analyse (1 à 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Choisissez d'abord l'</w:t>
      </w:r>
      <w:r>
        <w:rPr>
          <w:b/>
          <w:bCs/>
        </w:rPr>
        <w:t xml:space="preserve">année</w:t>
      </w:r>
      <w:r>
        <w:t xml:space="preserve"> dans le segment : sans choix, les mois des différentes années sont additionnés.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semaines sont des </w:t>
      </w:r>
      <w:r>
        <w:rPr>
          <w:b/>
          <w:bCs/>
        </w:rPr>
        <w:t xml:space="preserve">semaines ISO</w:t>
      </w:r>
      <w:r>
        <w:t xml:space="preserve"> (du lundi au dimanche). Une semaine peut donc chevaucher deux mois : c'est pour cela que l'agrégat hebdomadaire et l'agrégat mensuel sont calculés séparément.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Sur la page Analyse 3, une ligne vide pour un Land signifie qu'aucune location n'y a eu lieu ce mois-là.</w:t>
      </w:r>
    </w:p>
    <w:p>
      <w:pPr>
        <w:pStyle w:val="Heading2"/>
      </w:pPr>
      <w:r>
        <w:t xml:space="preserve">Lire les pages de synthèse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Synthèse 1</w:t>
      </w:r>
      <w:r>
        <w:t xml:space="preserve"> : le graphique du haut met en regard la durée totale (colonnes) et les montants (courbes) semaine par semaine. L'écart entre « montant au prix public » et « montant réellement payé » représente les réductions accordées.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Synthèse 1</w:t>
      </w:r>
      <w:r>
        <w:t xml:space="preserve"> : la carte place chaque région ou Land selon son montant de location ; survolez une bulle pour lire la valeur.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Synthèse 2</w:t>
      </w:r>
      <w:r>
        <w:t xml:space="preserve"> : le segment de gauche choisit le montant affiché. La matrice donne, pour chaque mois, la valeur de l'année, celle de l'année précédente et l'écart.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Synthèse 2</w:t>
      </w:r>
      <w:r>
        <w:t xml:space="preserve"> : les segments Type de société, Gamme et Marque sont hiérarchiques ; cliquez sur la flèche devant une valeur pour descendre jusqu'à la société ou au produit.</w:t>
      </w:r>
    </w:p>
    <w:p>
      <w:pPr>
        <w:pStyle w:val="Heading1"/>
      </w:pPr>
      <w:r>
        <w:t xml:space="preserve">5. Le rapport « Analyse des ventes »</w:t>
      </w:r>
    </w:p>
    <w:p>
      <w:pPr>
        <w:spacing w:after="120"/>
      </w:pPr>
      <w:r>
        <w:t xml:space="preserve">Fichier </w:t>
      </w:r>
      <w:r>
        <w:rPr>
          <w:rFonts w:ascii="Consolas" w:cs="Consolas" w:eastAsia="Consolas" w:hAnsi="Consolas"/>
          <w:sz w:val="19"/>
          <w:szCs w:val="19"/>
        </w:rPr>
        <w:t xml:space="preserve">powerbi/TB Analyse Achats.pbix</w:t>
      </w:r>
      <w:r>
        <w:t xml:space="preserve">. Il répond aux besoins des deux responsables des ventes : analyser les achats par jour, mois et année, selon les produits et les employés (et donc leur société), et repérer les gammes les plus adaptées à chaque territoire.</w:t>
      </w:r>
    </w:p>
    <w:p>
      <w:pPr>
        <w:pStyle w:val="Heading2"/>
      </w:pPr>
      <w:r>
        <w:t xml:space="preserve">Les indicateurs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438"/>
      </w:tblGrid>
      <w:tr>
        <w:trPr>
          <w:tblHeader/>
        </w:trPr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Indicateur</w:t>
            </w:r>
          </w:p>
        </w:tc>
        <w:tc>
          <w:tcPr>
            <w:tcW w:type="dxa" w:w="4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Définition</w:t>
            </w:r>
          </w:p>
        </w:tc>
        <w:tc>
          <w:tcPr>
            <w:tcW w:type="dxa" w:w="24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Unité</w:t>
            </w:r>
          </w:p>
        </w:tc>
      </w:tr>
      <w:tr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Quantité</w:t>
            </w:r>
          </w:p>
        </w:tc>
        <w:tc>
          <w:tcPr>
            <w:tcW w:type="dxa" w:w="4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Nombre d'articles achetés</w:t>
            </w:r>
          </w:p>
        </w:tc>
        <w:tc>
          <w:tcPr>
            <w:tcW w:type="dxa" w:w="24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articles</w:t>
            </w:r>
          </w:p>
        </w:tc>
      </w:tr>
      <w:tr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</w:t>
            </w:r>
          </w:p>
        </w:tc>
        <w:tc>
          <w:tcPr>
            <w:tcW w:type="dxa" w:w="4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Ce que les employés ont réellement payé, réductions déduites</w:t>
            </w:r>
          </w:p>
        </w:tc>
        <w:tc>
          <w:tcPr>
            <w:tcW w:type="dxa" w:w="24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€ TTC</w:t>
            </w:r>
          </w:p>
        </w:tc>
      </w:tr>
      <w:tr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 HT</w:t>
            </w:r>
          </w:p>
        </w:tc>
        <w:tc>
          <w:tcPr>
            <w:tcW w:type="dxa" w:w="4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 même montant hors taxes, calculé avec le taux de TVA du pays de la société de l'employé (20 % en France, 19 % en Allemagne)</w:t>
            </w:r>
          </w:p>
        </w:tc>
        <w:tc>
          <w:tcPr>
            <w:tcW w:type="dxa" w:w="24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€ HT</w:t>
            </w:r>
          </w:p>
        </w:tc>
      </w:tr>
      <w:tr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Bénéfice HT</w:t>
            </w:r>
          </w:p>
        </w:tc>
        <w:tc>
          <w:tcPr>
            <w:tcW w:type="dxa" w:w="4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au prix public HT moins montant réellement payé HT</w:t>
            </w:r>
          </w:p>
        </w:tc>
        <w:tc>
          <w:tcPr>
            <w:tcW w:type="dxa" w:w="24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€ HT</w:t>
            </w:r>
          </w:p>
        </w:tc>
      </w:tr>
    </w:tbl>
    <w:p>
      <w:pPr>
        <w:spacing w:after="120"/>
      </w:pPr>
    </w:p>
    <w:p>
      <w:pPr>
        <w:pBdr>
          <w:left w:val="single" w:color="2E75B6" w:sz="18" w:space="6"/>
        </w:pBdr>
        <w:shd w:fill="EAF2FC" w:color="auto" w:val="clear"/>
        <w:spacing w:after="160" w:before="60"/>
        <w:ind w:left="120"/>
      </w:pPr>
      <w:r>
        <w:rPr>
          <w:b/>
          <w:bCs/>
        </w:rPr>
        <w:t xml:space="preserve">Pourquoi deux montants payés ?</w:t>
      </w:r>
      <w:r>
        <w:t xml:space="preserve"> Les tarifs français sont exprimés TTC et les tarifs allemands HT. Pour comparer la France et l'Allemagne sur une base commune, utilisez le </w:t>
      </w:r>
      <w:r>
        <w:rPr>
          <w:b/>
          <w:bCs/>
        </w:rPr>
        <w:t xml:space="preserve">Montant réel payé HT</w:t>
      </w:r>
      <w:r>
        <w:t xml:space="preserve">. Le montant TTC reste disponible, comme le client l'a demandé lors de l'entretien du 14/10.</w:t>
      </w:r>
    </w:p>
    <w:p>
      <w:pPr>
        <w:pStyle w:val="Heading2"/>
      </w:pPr>
      <w:r>
        <w:t xml:space="preserve">Page « Analyse ventes 1 »</w:t>
      </w:r>
    </w:p>
    <w:p>
      <w:pPr>
        <w:spacing w:after="120"/>
      </w:pPr>
      <w:r>
        <w:t xml:space="preserve">Vue d'ensemble des ventes. Les segments </w:t>
      </w:r>
      <w:r>
        <w:rPr>
          <w:b/>
          <w:bCs/>
        </w:rPr>
        <w:t xml:space="preserve">Pays</w:t>
      </w:r>
      <w:r>
        <w:t xml:space="preserve">, </w:t>
      </w:r>
      <w:r>
        <w:rPr>
          <w:b/>
          <w:bCs/>
        </w:rPr>
        <w:t xml:space="preserve">Année</w:t>
      </w:r>
      <w:r>
        <w:t xml:space="preserve"> et </w:t>
      </w:r>
      <w:r>
        <w:rPr>
          <w:b/>
          <w:bCs/>
        </w:rPr>
        <w:t xml:space="preserve">Société</w:t>
      </w:r>
      <w:r>
        <w:t xml:space="preserve"> à gauche filtrent toute la page.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Visuel</w:t>
            </w:r>
          </w:p>
        </w:tc>
        <w:tc>
          <w:tcPr>
            <w:tcW w:type="dxa" w:w="63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Ce qu'il montre</w:t>
            </w:r>
          </w:p>
        </w:tc>
      </w:tr>
      <w:tr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 par gamme</w:t>
            </w:r>
          </w:p>
        </w:tc>
        <w:tc>
          <w:tcPr>
            <w:tcW w:type="dxa" w:w="63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 classement des gammes de produits, de la plus vendue à la moins vendue.</w:t>
            </w:r>
          </w:p>
        </w:tc>
      </w:tr>
      <w:tr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 par secteur</w:t>
            </w:r>
          </w:p>
        </w:tc>
        <w:tc>
          <w:tcPr>
            <w:tcW w:type="dxa" w:w="63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La répartition des ventes entre les grands secteurs (vélos, micromobilité, équipement du cycliste, services).</w:t>
            </w:r>
          </w:p>
        </w:tc>
      </w:tr>
      <w:tr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Montant réel payé par région / Land</w:t>
            </w:r>
          </w:p>
        </w:tc>
        <w:tc>
          <w:tcPr>
            <w:tcW w:type="dxa" w:w="63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 classement des territoires. Régions françaises et Länder allemands sont réunis sur le même axe pour être comparables.</w:t>
            </w:r>
          </w:p>
        </w:tc>
      </w:tr>
      <w:tr>
        <w:tc>
          <w:tcPr>
            <w:tcW w:type="dxa" w:w="3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Quantité, bénéfice et montant par mois</w:t>
            </w:r>
          </w:p>
        </w:tc>
        <w:tc>
          <w:tcPr>
            <w:tcW w:type="dxa" w:w="63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L'évolution mois par mois : quantités en colonnes, montant payé et bénéfice en courbes. On y lit la saisonnalité (pic au printemps et en été).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Trouver les gammes adaptées à un territoire</w:t>
      </w:r>
      <w:r>
        <w:t xml:space="preserve"> : cliquez sur une région dans le graphique « par région / Land » ; le graphique des gammes se limite aussitôt à ce territoire et affiche ses gammes les plus vendues.</w:t>
      </w:r>
    </w:p>
    <w:p>
      <w:pPr>
        <w:pStyle w:val="Heading2"/>
      </w:pPr>
      <w:r>
        <w:t xml:space="preserve">Page « Comparaison annuelle »</w:t>
      </w:r>
    </w:p>
    <w:p>
      <w:pPr>
        <w:spacing w:after="120"/>
      </w:pPr>
      <w:r>
        <w:t xml:space="preserve">Compare chaque mois avec le même mois de l'année précédente.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Dans le segment </w:t>
      </w:r>
      <w:r>
        <w:rPr>
          <w:b/>
          <w:bCs/>
        </w:rPr>
        <w:t xml:space="preserve">Mesure sélectionnée</w:t>
      </w:r>
      <w:r>
        <w:t xml:space="preserve">, choisissez l'indicateur à analyser (montant TTC, montant HT, quantité ou bénéfice). Tous les visuels de la page l'affichent.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Filtrez si besoin par </w:t>
      </w:r>
      <w:r>
        <w:rPr>
          <w:b/>
          <w:bCs/>
        </w:rPr>
        <w:t xml:space="preserve">type de société</w:t>
      </w:r>
      <w:r>
        <w:t xml:space="preserve"> (micro-entreprise, PME, ETI, grande entreprise) ou par </w:t>
      </w:r>
      <w:r>
        <w:rPr>
          <w:b/>
          <w:bCs/>
        </w:rPr>
        <w:t xml:space="preserve">gamme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Dans la matrice, cliquez sur le </w:t>
      </w:r>
      <w:r>
        <w:rPr>
          <w:b/>
          <w:bCs/>
        </w:rPr>
        <w:t xml:space="preserve">+</w:t>
      </w:r>
      <w:r>
        <w:t xml:space="preserve"> devant une année pour voir ses mois.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Colonne de la matrice</w:t>
            </w:r>
          </w:p>
        </w:tc>
        <w:tc>
          <w:tcPr>
            <w:tcW w:type="dxa" w:w="7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Signification</w:t>
            </w:r>
          </w:p>
        </w:tc>
      </w:tr>
      <w:tr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Valeur N</w:t>
            </w:r>
          </w:p>
        </w:tc>
        <w:tc>
          <w:tcPr>
            <w:tcW w:type="dxa" w:w="7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Valeur de l'indicateur pour le mois (ou l'année) de la ligne.</w:t>
            </w:r>
          </w:p>
        </w:tc>
      </w:tr>
      <w:tr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Valeur N-1</w:t>
            </w:r>
          </w:p>
        </w:tc>
        <w:tc>
          <w:tcPr>
            <w:tcW w:type="dxa" w:w="7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Valeur pour le même mois de l'année précédente.</w:t>
            </w:r>
          </w:p>
        </w:tc>
      </w:tr>
      <w:tr>
        <w:tc>
          <w:tcPr>
            <w:tcW w:type="dxa" w:w="2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Variation annuelle %</w:t>
            </w:r>
          </w:p>
        </w:tc>
        <w:tc>
          <w:tcPr>
            <w:tcW w:type="dxa" w:w="7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Écart entre N et N-1, en pourcentage de N-1 (par exemple +31 % ou -54 %). Vide quand l'année précédente n'a pas de données.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Les deux histogrammes de droite montrent le même indicateur par secteur de produits et par société. Cliquez sur une société pour limiter la matrice à ses achats.</w:t>
      </w:r>
    </w:p>
    <w:p>
      <w:pPr>
        <w:pStyle w:val="Heading2"/>
      </w:pPr>
      <w:r>
        <w:t xml:space="preserve">Deux vues : Lyon et Berlin</w:t>
      </w:r>
    </w:p>
    <w:p>
      <w:pPr>
        <w:spacing w:after="120"/>
      </w:pPr>
      <w:r>
        <w:t xml:space="preserve">Chaque responsable des ventes ne doit voir que les ventes de son pays. Le rapport contient pour cela deux </w:t>
      </w:r>
      <w:r>
        <w:rPr>
          <w:b/>
          <w:bCs/>
        </w:rPr>
        <w:t xml:space="preserve">rôles de sécurité</w:t>
      </w:r>
      <w:r>
        <w:t xml:space="preserve">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38"/>
      </w:tblGrid>
      <w:tr>
        <w:trPr>
          <w:tblHeader/>
        </w:trPr>
        <w:tc>
          <w:tcPr>
            <w:tcW w:type="dxa" w:w="2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Rôle</w:t>
            </w:r>
          </w:p>
        </w:tc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Filtre appliqué</w:t>
            </w:r>
          </w:p>
        </w:tc>
        <w:tc>
          <w:tcPr>
            <w:tcW w:type="dxa" w:w="4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Ce que voit l'utilisateur</w:t>
            </w:r>
          </w:p>
        </w:tc>
      </w:tr>
      <w:tr>
        <w:tc>
          <w:tcPr>
            <w:tcW w:type="dxa" w:w="2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Lyon</w:t>
            </w:r>
          </w:p>
        </w:tc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CODEPAYS = "FR"</w:t>
            </w:r>
          </w:p>
        </w:tc>
        <w:tc>
          <w:tcPr>
            <w:tcW w:type="dxa" w:w="4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Uniquement les achats des employés de sociétés françaises</w:t>
            </w:r>
          </w:p>
        </w:tc>
      </w:tr>
      <w:tr>
        <w:tc>
          <w:tcPr>
            <w:tcW w:type="dxa" w:w="2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Berlin</w:t>
            </w:r>
          </w:p>
        </w:tc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CODEPAYS = "DE"</w:t>
            </w:r>
          </w:p>
        </w:tc>
        <w:tc>
          <w:tcPr>
            <w:tcW w:type="dxa" w:w="4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Uniquement les achats des employés de sociétés allemandes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Le filtre est posé sur la dimension Employé (et sur les agrégats, qui gardent le code pays) ; il s'applique donc à toutes les pages.</w:t>
      </w:r>
    </w:p>
    <w:p>
      <w:pPr>
        <w:spacing w:after="120"/>
      </w:pPr>
      <w:r>
        <w:rPr>
          <w:b/>
          <w:bCs/>
        </w:rPr>
        <w:t xml:space="preserve">Pour tester une vue dans Power BI Desktop</w:t>
      </w:r>
      <w:r>
        <w:t xml:space="preserve"> : onglet </w:t>
      </w:r>
      <w:r>
        <w:rPr>
          <w:b/>
          <w:bCs/>
        </w:rPr>
        <w:t xml:space="preserve">Modélisation</w:t>
      </w:r>
      <w:r>
        <w:t xml:space="preserve">, </w:t>
      </w:r>
      <w:r>
        <w:rPr>
          <w:b/>
          <w:bCs/>
        </w:rPr>
        <w:t xml:space="preserve">Voir comme</w:t>
      </w:r>
      <w:r>
        <w:t xml:space="preserve">, cochez </w:t>
      </w:r>
      <w:r>
        <w:rPr>
          <w:b/>
          <w:bCs/>
        </w:rPr>
        <w:t xml:space="preserve">Lyon</w:t>
      </w:r>
      <w:r>
        <w:t xml:space="preserve"> ou </w:t>
      </w:r>
      <w:r>
        <w:rPr>
          <w:b/>
          <w:bCs/>
        </w:rPr>
        <w:t xml:space="preserve">Berlin</w:t>
      </w:r>
      <w:r>
        <w:t xml:space="preserve">, puis </w:t>
      </w:r>
      <w:r>
        <w:rPr>
          <w:b/>
          <w:bCs/>
        </w:rPr>
        <w:t xml:space="preserve">OK</w:t>
      </w:r>
      <w:r>
        <w:t xml:space="preserve">. Le segment Pays ne propose plus que le pays du rôle. Cliquez sur </w:t>
      </w:r>
      <w:r>
        <w:rPr>
          <w:b/>
          <w:bCs/>
        </w:rPr>
        <w:t xml:space="preserve">Arrêter l'affichage</w:t>
      </w:r>
      <w:r>
        <w:t xml:space="preserve"> pour revenir à la vue complète.</w:t>
      </w:r>
    </w:p>
    <w:p>
      <w:pPr>
        <w:spacing w:after="120"/>
      </w:pPr>
      <w:r>
        <w:rPr>
          <w:b/>
          <w:bCs/>
        </w:rPr>
        <w:t xml:space="preserve">En production</w:t>
      </w:r>
      <w:r>
        <w:t xml:space="preserve"> (après publication sur le service Power BI), on associe le compte de chaque responsable à son rôle dans les paramètres de sécurité du modèle sémantique. Sans rôle, un utilisateur administrateur voit la vue consolidée des deux pays.</w:t>
      </w:r>
    </w:p>
    <w:p>
      <w:pPr>
        <w:pStyle w:val="Heading1"/>
      </w:pPr>
      <w:r>
        <w:t xml:space="preserve">6. Quelle page pour quelle question 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rPr>
          <w:tblHeader/>
        </w:trP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Question du décideur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Où regarder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Combien chaque société a-t-elle payé en locations ce mois-ci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Analyse 1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Quels salariés louent le plus, et combien de temps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Analyse 2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Dans quelles régions ou quels Länder loue-t-on le plus longtemps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Analyse 3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Quelles marques et quels secteurs rapportent le plus en location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Synthèse 1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Mes locations progressent-elles par rapport à l'an dernier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Locations, page Synthèse 2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Quelles gammes vendre dans telle région ou tel Land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 Analyse ventes 1 (cliquer sur le territoire)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Quelle est la saisonnalité des ventes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 Analyse ventes 1 (graphique mensuel)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Mes ventes progressent-elles par rapport à l'an dernier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 Comparaison annuelle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Quels types de sociétés et quelles sociétés achètent le plus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page Comparaison annuelle (segment Type de société, histogramme par société)</w:t>
            </w:r>
          </w:p>
        </w:tc>
      </w:tr>
      <w:tr>
        <w:tc>
          <w:tcPr>
            <w:tcW w:type="dxa" w:w="50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Combien MobiPass gagne-t-il sur les ventes ?</w:t>
            </w:r>
          </w:p>
        </w:tc>
        <w:tc>
          <w:tcPr>
            <w:tcW w:type="dxa" w:w="46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Ventes, n'importe quelle page avec l'indicateur Bénéfice HT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En cas de problème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Symptôme</w:t>
            </w:r>
          </w:p>
        </w:tc>
        <w:tc>
          <w:tcPr>
            <w:tcW w:type="dxa" w:w="6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A7C7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Message d'erreur Oracle à l'actualisation (par exemple ORA-50201 ou délai dépassé)</w:t>
            </w:r>
          </w:p>
        </w:tc>
        <w:tc>
          <w:tcPr>
            <w:tcW w:type="dxa" w:w="6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 serveur n'est pas joignable : connectez-vous depuis le réseau de l'université, ou ouvrez le tunnel SSH puis utilisez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localhost:&lt;port&gt;/siad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« Identifiants non valides »</w:t>
            </w:r>
          </w:p>
        </w:tc>
        <w:tc>
          <w:tcPr>
            <w:tcW w:type="dxa" w:w="6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Refaites l'étape 4 de la section 2 en choisissant bien le mode </w:t>
            </w:r>
            <w:r>
              <w:rPr>
                <w:b/>
                <w:bCs/>
              </w:rPr>
              <w:t xml:space="preserve">Base de données</w:t>
            </w:r>
            <w:r>
              <w:t xml:space="preserve"> (et non Windows).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Les visuels sont vides</w:t>
            </w:r>
          </w:p>
        </w:tc>
        <w:tc>
          <w:tcPr>
            <w:tcW w:type="dxa" w:w="6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Vérifiez qu'aucun segment ne filtre sur une valeur sans données, cliquez sur la gomme des segments, puis sur </w:t>
            </w:r>
            <w:r>
              <w:rPr>
                <w:b/>
                <w:bCs/>
              </w:rPr>
              <w:t xml:space="preserve">Actualiser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Les chiffres ne tiennent pas compte des derniers achats</w:t>
            </w:r>
          </w:p>
        </w:tc>
        <w:tc>
          <w:tcPr>
            <w:tcW w:type="dxa" w:w="6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Rafraîchissez d'abord les vues matérialisées dans Oracle (section 2), puis actualisez Power BI.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 seul pays apparaît alors qu'on attend les deux</w:t>
            </w:r>
          </w:p>
        </w:tc>
        <w:tc>
          <w:tcPr>
            <w:tcW w:type="dxa" w:w="6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Une vue de rôle est peut-être active : onglet Modélisation, </w:t>
            </w:r>
            <w:r>
              <w:rPr>
                <w:b/>
                <w:bCs/>
              </w:rPr>
              <w:t xml:space="preserve">Arrêter l'affichage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 visuel affiche des tirets « -- »</w:t>
            </w:r>
          </w:p>
        </w:tc>
        <w:tc>
          <w:tcPr>
            <w:tcW w:type="dxa" w:w="6038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 élément est sélectionné dans un autre graphique : cliquez dans une zone vide de la page.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MobiPass V2 : guide d'utilisation des outils d'analyse   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◦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A7C7F2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MobiPass V2 : guide d'utilisation des outils d'analyse</dc:title>
  <dc:creator>Groupe MobiPass, M2 MIAGE IDA</dc:creator>
  <cp:lastModifiedBy>Un-named</cp:lastModifiedBy>
  <cp:revision>1</cp:revision>
  <dcterms:created xsi:type="dcterms:W3CDTF">2026-10-27T10:11:20.543Z</dcterms:created>
  <dcterms:modified xsi:type="dcterms:W3CDTF">2026-10-27T10:11:20.543Z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