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Expression des besoins</w:t>
      </w:r>
    </w:p>
    <w:p>
      <w:pPr>
        <w:spacing w:after="120"/>
      </w:pPr>
      <w:r>
        <w:rPr>
          <w:rFonts w:ascii="Calibri" w:cs="Calibri" w:eastAsia="Calibri" w:hAnsi="Calibri"/>
          <w:i/>
          <w:iCs/>
          <w:color w:val="595959"/>
          <w:sz w:val="21"/>
          <w:szCs w:val="21"/>
        </w:rPr>
        <w:t xml:space="preserve">Projet MobiPass : nouvelle version du SAD (prototype POC sous Oracle)</w:t>
      </w:r>
    </w:p>
    <w:p>
      <w:pPr>
        <w:spacing w:after="120"/>
      </w:pPr>
      <w:r>
        <w:rPr>
          <w:rFonts w:ascii="Calibri" w:cs="Calibri" w:eastAsia="Calibri" w:hAnsi="Calibri"/>
          <w:sz w:val="21"/>
          <w:szCs w:val="21"/>
        </w:rPr>
        <w:t xml:space="preserve">Cette section traduit le cahier des charges de MobiPass en besoins décisionnels. Deux classes de décideurs sont identifiées : le responsable des locations et les responsables des ventes. Ces derniers sont deux personnes (Lyon et Berlin) mais forment une seule classe, car leurs besoins sont identiques ; seul le périmètre géographique des données change. Les besoins marqués « proposé » ne sont pas explicités dans le cahier des charges : ce sont des rapports que nous proposons, le client nous ayant laissé le soin de les définir.</w:t>
      </w:r>
    </w:p>
    <w:p>
      <w:pPr>
        <w:pStyle w:val="Heading2"/>
      </w:pPr>
      <w:r>
        <w:t xml:space="preserve">Tableau des besoins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900"/>
        <w:gridCol w:w="4300"/>
        <w:gridCol w:w="2600"/>
        <w:gridCol w:w="2000"/>
      </w:tblGrid>
      <w:tr>
        <w:trPr>
          <w:tblHeader/>
        </w:trPr>
        <w:tc>
          <w:tcPr>
            <w:tcW w:type="dxa" w:w="9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Réf.</w:t>
            </w:r>
          </w:p>
        </w:tc>
        <w:tc>
          <w:tcPr>
            <w:tcW w:type="dxa" w:w="1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Classe de décideur</w:t>
            </w:r>
          </w:p>
        </w:tc>
        <w:tc>
          <w:tcPr>
            <w:tcW w:type="dxa" w:w="29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Besoin (description)</w:t>
            </w:r>
          </w:p>
        </w:tc>
        <w:tc>
          <w:tcPr>
            <w:tcW w:type="dxa" w:w="43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Restitutions souhaitées</w:t>
            </w:r>
          </w:p>
        </w:tc>
        <w:tc>
          <w:tcPr>
            <w:tcW w:type="dxa" w:w="2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Type de restitution</w:t>
            </w:r>
          </w:p>
        </w:tc>
        <w:tc>
          <w:tcPr>
            <w:tcW w:type="dxa" w:w="20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Fréquence / origine</w:t>
            </w:r>
          </w:p>
        </w:tc>
      </w:tr>
      <w:tr>
        <w:trPr>
          <w:cantSplit/>
        </w:trPr>
        <w:tc>
          <w:tcPr>
            <w:tcW w:type="dxa" w:w="900"/>
            <w:vMerge w:val="restart"/>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B1</w:t>
            </w:r>
          </w:p>
        </w:tc>
        <w:tc>
          <w:tcPr>
            <w:tcW w:type="dxa" w:w="1700"/>
            <w:vMerge w:val="restart"/>
            <w:tcBorders>
              <w:top w:val="single" w:color="8EA9C1" w:sz="4"/>
              <w:left w:val="single" w:color="8EA9C1" w:sz="4"/>
              <w:bottom w:val="single" w:color="8EA9C1" w:sz="4"/>
              <w:right w:val="single" w:color="8EA9C1" w:sz="4"/>
            </w:tcBorders>
            <w:shd w:fill="F2F6FA"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 des locations</w:t>
            </w:r>
          </w:p>
        </w:tc>
        <w:tc>
          <w:tcPr>
            <w:tcW w:type="dxa" w:w="2900"/>
            <w:vMerge w:val="restart"/>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Suivi quotidien des locations : accès le plus rapide possible aux analyses récurrentes, sans connaissance d'un langage de requêtes.</w:t>
            </w: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B1.1 : Montants des locations réellement payés, par mois et par société</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Tableau croisé (sociétés × mois)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Quotidienne · explicite (a)</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B1.2 : Montants réellement payés et durées des locations, par semaine et par salarié</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Tableau croisé (salariés × semaines)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Quotidienne · explicite (b)</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B1.3 : Durées des locations, par mois et par région (France et Allemagne)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Tableau + graphique (histogramme ou courbes par région)</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Quotidienne · explicite (c)</w:t>
            </w:r>
          </w:p>
        </w:tc>
      </w:tr>
      <w:tr>
        <w:trPr>
          <w:cantSplit/>
        </w:trPr>
        <w:tc>
          <w:tcPr>
            <w:tcW w:type="dxa" w:w="900"/>
            <w:vMerge w:val="restart"/>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B2</w:t>
            </w:r>
          </w:p>
        </w:tc>
        <w:tc>
          <w:tcPr>
            <w:tcW w:type="dxa" w:w="1700"/>
            <w:vMerge w:val="restart"/>
            <w:tcBorders>
              <w:top w:val="single" w:color="8EA9C1" w:sz="4"/>
              <w:left w:val="single" w:color="8EA9C1" w:sz="4"/>
              <w:bottom w:val="single" w:color="8EA9C1" w:sz="4"/>
              <w:right w:val="single" w:color="8EA9C1" w:sz="4"/>
            </w:tcBorders>
            <w:shd w:fill="F2F6FA"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 des locations</w:t>
            </w:r>
          </w:p>
        </w:tc>
        <w:tc>
          <w:tcPr>
            <w:tcW w:type="dxa" w:w="2900"/>
            <w:vMerge w:val="restart"/>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en ligne libre des locations pour comprendre les périodes de tension (printemps, été) et ajuster le parc.</w:t>
            </w: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B2.1 : Durée, montant au prix public et montant réellement payé des locations, par semaine, mois et année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OLAP interactive (forage, rotation, filtres)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À la demande · explicite</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B2.2 : Mêmes mesures selon l'exemplaire et toutes ses informations produit (produit, gamme, secteur, génération, fabricant, agence)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OLAP interactive</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À la demande · explicite</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B2.3 : Mêmes mesures selon l'employé (nom, prénom, profil, classe de trajet) et la géographie de sa société, quel que soit son pays</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OLAP interactive</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À la demande · explicite</w:t>
            </w:r>
          </w:p>
        </w:tc>
      </w:tr>
      <w:tr>
        <w:trPr>
          <w:cantSplit/>
        </w:trPr>
        <w:tc>
          <w:tcPr>
            <w:tcW w:type="dxa" w:w="900"/>
            <w:vMerge w:val="restart"/>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B3</w:t>
            </w:r>
          </w:p>
        </w:tc>
        <w:tc>
          <w:tcPr>
            <w:tcW w:type="dxa" w:w="1700"/>
            <w:vMerge w:val="restart"/>
            <w:tcBorders>
              <w:top w:val="single" w:color="8EA9C1" w:sz="4"/>
              <w:left w:val="single" w:color="8EA9C1" w:sz="4"/>
              <w:bottom w:val="single" w:color="8EA9C1" w:sz="4"/>
              <w:right w:val="single" w:color="8EA9C1" w:sz="4"/>
            </w:tcBorders>
            <w:shd w:fill="F2F6FA"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Responsables des ventes (Lyon : France, Berlin : Allemagne)</w:t>
            </w:r>
          </w:p>
        </w:tc>
        <w:tc>
          <w:tcPr>
            <w:tcW w:type="dxa" w:w="2900"/>
            <w:vMerge w:val="restart"/>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Pilotage des ventes à moyen terme, chaque responsable limité aux données de son pays.</w:t>
            </w: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B3.1 : Quantités achetées, montants réellement payés et bénéfices, par jour, mois et année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Tableau croisé + courbe d'évolution</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Hebdomadaire · explicite</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B3.2 : Mêmes mesures selon les produits (produit, gamme, secteur) et les employés (profil, classe de trajet, métier ROME pour la France)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OLAP interactive / tableau croisé</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À la demande · explicite</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B3.3 : Mêmes mesures selon les sociétés (type INSEE, catégorie juridique, positionnement géographique)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 OLAP interactive / tableau croisé</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À la demande · explicite</w:t>
            </w:r>
          </w:p>
        </w:tc>
      </w:tr>
      <w:tr>
        <w:trPr>
          <w:cantSplit/>
        </w:trPr>
        <w:tc>
          <w:tcPr>
            <w:tcW w:type="dxa" w:w="900"/>
            <w:vMerge w:val="restart"/>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B4</w:t>
            </w:r>
          </w:p>
        </w:tc>
        <w:tc>
          <w:tcPr>
            <w:tcW w:type="dxa" w:w="1700"/>
            <w:vMerge w:val="restart"/>
            <w:tcBorders>
              <w:top w:val="single" w:color="8EA9C1" w:sz="4"/>
              <w:left w:val="single" w:color="8EA9C1" w:sz="4"/>
              <w:bottom w:val="single" w:color="8EA9C1" w:sz="4"/>
              <w:right w:val="single" w:color="8EA9C1" w:sz="4"/>
            </w:tcBorders>
            <w:shd w:fill="F2F6FA"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Responsables des ventes</w:t>
            </w:r>
          </w:p>
        </w:tc>
        <w:tc>
          <w:tcPr>
            <w:tcW w:type="dxa" w:w="2900"/>
            <w:vMerge w:val="restart"/>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Vision long terme : identifier les gammes de produits les plus adaptées à chaque lieu (rapports emblématiques proposés par l'ESN).</w:t>
            </w: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sz w:val="18"/>
                <w:szCs w:val="18"/>
              </w:rPr>
              <w:t xml:space="preserve">B4.1 (proposé) : Rapport « Tableau de bord des ventes » : quantités, montant payé et bénéfice par mois, avec comparaison à l'année précédente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Tableau de bord (indicateurs + courbes)</w:t>
            </w:r>
          </w:p>
        </w:tc>
        <w:tc>
          <w:tcPr>
            <w:tcW w:type="dxa" w:w="2000"/>
            <w:tcBorders>
              <w:top w:val="single" w:color="8EA9C1" w:sz="4"/>
              <w:left w:val="single" w:color="8EA9C1" w:sz="4"/>
              <w:bottom w:val="single" w:color="8EA9C1" w:sz="4"/>
              <w:right w:val="single" w:color="8EA9C1" w:sz="4"/>
            </w:tcBorders>
            <w:shd w:fill="FFF4E0"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Mensuelle · proposé</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sz w:val="18"/>
                <w:szCs w:val="18"/>
              </w:rPr>
              <w:t xml:space="preserve">B4.2 (proposé) : Rapport « Gammes par territoire » : classement des gammes par montant payé pour chaque région (FR) ou Land (DE)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Carte ou histogramme + classement (top N)</w:t>
            </w:r>
          </w:p>
        </w:tc>
        <w:tc>
          <w:tcPr>
            <w:tcW w:type="dxa" w:w="2000"/>
            <w:tcBorders>
              <w:top w:val="single" w:color="8EA9C1" w:sz="4"/>
              <w:left w:val="single" w:color="8EA9C1" w:sz="4"/>
              <w:bottom w:val="single" w:color="8EA9C1" w:sz="4"/>
              <w:right w:val="single" w:color="8EA9C1" w:sz="4"/>
            </w:tcBorders>
            <w:shd w:fill="FFF4E0"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Mensuelle · proposé</w:t>
            </w:r>
          </w:p>
        </w:tc>
      </w:tr>
      <w:tr>
        <w:trPr>
          <w:cantSplit/>
        </w:trPr>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vMerge w:val="continue"/>
            <w:tcBorders>
              <w:top w:val="single" w:color="8EA9C1" w:sz="4"/>
              <w:left w:val="single" w:color="8EA9C1" w:sz="4"/>
              <w:bottom w:val="single" w:color="8EA9C1" w:sz="4"/>
              <w:right w:val="single" w:color="8EA9C1" w:sz="4"/>
            </w:tcBorders>
          </w:tcPr>
          <w:p/>
        </w:tc>
        <w:tc>
          <w:tcPr>
            <w:tcW w:type="dxa" w:w="4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sz w:val="18"/>
                <w:szCs w:val="18"/>
              </w:rPr>
              <w:t xml:space="preserve">B4.3 (proposé) : Ventes par type de société et catégorie juridique</w:t>
            </w:r>
          </w:p>
        </w:tc>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Graphique (barres empilées)</w:t>
            </w:r>
          </w:p>
        </w:tc>
        <w:tc>
          <w:tcPr>
            <w:tcW w:type="dxa" w:w="2000"/>
            <w:tcBorders>
              <w:top w:val="single" w:color="8EA9C1" w:sz="4"/>
              <w:left w:val="single" w:color="8EA9C1" w:sz="4"/>
              <w:bottom w:val="single" w:color="8EA9C1" w:sz="4"/>
              <w:right w:val="single" w:color="8EA9C1" w:sz="4"/>
            </w:tcBorders>
            <w:shd w:fill="FFF4E0" w:color="auto" w:val="clear"/>
            <w:tcMar>
              <w:top w:type="dxa" w:w="60"/>
              <w:left w:type="dxa" w:w="90"/>
              <w:bottom w:type="dxa" w:w="60"/>
              <w:right w:type="dxa" w:w="90"/>
            </w:tcMar>
            <w:vAlign w:val="center"/>
          </w:tcPr>
          <w:p>
            <w:pPr>
              <w:spacing w:after="0"/>
            </w:pPr>
            <w:r>
              <w:rPr>
                <w:rFonts w:ascii="Calibri" w:cs="Calibri" w:eastAsia="Calibri" w:hAnsi="Calibri"/>
                <w:sz w:val="18"/>
                <w:szCs w:val="18"/>
              </w:rPr>
              <w:t xml:space="preserve">Trimestrielle · proposé</w:t>
            </w:r>
          </w:p>
        </w:tc>
      </w:tr>
    </w:tbl>
    <w:p>
      <w:pPr>
        <w:spacing w:after="60"/>
      </w:pPr>
      <w:r>
        <w:rPr>
          <w:rFonts w:ascii="Calibri" w:cs="Calibri" w:eastAsia="Calibri" w:hAnsi="Calibri"/>
          <w:sz w:val="21"/>
          <w:szCs w:val="21"/>
        </w:rPr>
        <w:t xml:space="preserve"/>
      </w:r>
    </w:p>
    <w:p>
      <w:pPr>
        <w:spacing w:after="120"/>
      </w:pPr>
      <w:r>
        <w:rPr>
          <w:rFonts w:ascii="Calibri" w:cs="Calibri" w:eastAsia="Calibri" w:hAnsi="Calibri"/>
          <w:i/>
          <w:iCs/>
          <w:color w:val="595959"/>
          <w:sz w:val="18"/>
          <w:szCs w:val="18"/>
        </w:rPr>
        <w:t xml:space="preserve">Les lignes en italique sur fond orangé sont des propositions de l'équipe, à valider avec les responsables des ventes.</w:t>
      </w:r>
    </w:p>
    <w:p>
      <w:pPr>
        <w:pStyle w:val="Heading2"/>
      </w:pPr>
      <w:r>
        <w:t xml:space="preserve">Contraintes non fonctionnelles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9300"/>
      </w:tblGrid>
      <w:tr>
        <w:trPr>
          <w:cantSplit/>
          <w:tblHeader/>
        </w:trPr>
        <w:tc>
          <w:tcPr>
            <w:tcW w:type="dxa" w:w="9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Réf.</w:t>
            </w:r>
          </w:p>
        </w:tc>
        <w:tc>
          <w:tcPr>
            <w:tcW w:type="dxa" w:w="42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8"/>
                <w:szCs w:val="18"/>
              </w:rPr>
              <w:t xml:space="preserve">Contrainte</w:t>
            </w:r>
          </w:p>
        </w:tc>
        <w:tc>
          <w:tcPr>
            <w:tcW w:type="dxa" w:w="93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8"/>
                <w:szCs w:val="18"/>
              </w:rPr>
              <w:t xml:space="preserve">Conséquence pour la conception</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C1</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Temps de réponse extrêmement rapides (B1)</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Données agrégées précalculées (vues matérialisées par mois et par semaine) dans le magasin Locations.</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C2</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Aucune connaissance d'un langage de requêtes</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Restitutions dans un outil de reporting (rapports prêts à l'emploi et navigation par clics) ; guide utilisateur pour chaque décideur.</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C3</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Chaque responsable des ventes ne voit que son pays</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Filtrage par pays (sécurité au niveau des lignes ou un rapport par pays).</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C4</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Tarifs propres à chaque pays et à une période ; France en TTC (20 %), Allemagne en HT (19 %)</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Montants ramenés à une base commune (HT ou TTC, à valider avec le client) et calculés avec le tarif valable à la date de l'opération.</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C5</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Le portail RH alimente l'ED une fois par mois ; l'historique des métiers doit être conservé</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Historisation du métier des salariés (dimension à évolution lente de type 2).</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C6</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Géographie hétérogène : région/département en France, Land/district/arrondissement/commune en Allemagne</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Hiérarchie géographique non homogène sur la dimension Société (niveaux optionnels selon le pays).</w:t>
            </w:r>
          </w:p>
        </w:tc>
      </w:tr>
      <w:tr>
        <w:trPr>
          <w:cantSplit/>
        </w:trPr>
        <w:tc>
          <w:tcPr>
            <w:tcW w:type="dxa" w:w="9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C7</w:t>
            </w:r>
          </w:p>
        </w:tc>
        <w:tc>
          <w:tcPr>
            <w:tcW w:type="dxa" w:w="4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Analyses par semaine et par mois</w:t>
            </w:r>
          </w:p>
        </w:tc>
        <w:tc>
          <w:tcPr>
            <w:tcW w:type="dxa" w:w="9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Deux hiérarchies distinctes sur la dimension Temps (jour → semaine et jour → mois → année).</w:t>
            </w:r>
          </w:p>
        </w:tc>
      </w:tr>
    </w:tbl>
    <w:p>
      <w:pPr>
        <w:pStyle w:val="Heading2"/>
      </w:pPr>
      <w:r>
        <w:t xml:space="preserve">Points à valider avec le client</w:t>
      </w:r>
    </w:p>
    <w:p>
      <w:pPr>
        <w:pStyle w:val="ListParagraph"/>
        <w:numPr>
          <w:ilvl w:val="0"/>
          <w:numId w:val="2"/>
        </w:numPr>
        <w:spacing w:after="80"/>
      </w:pPr>
      <w:r>
        <w:t xml:space="preserve">Le « bénéfice » correspond-il bien au montant au prix public diminué du montant réellement payé (c'est-à-dire la remise accordée) ?</w:t>
      </w:r>
    </w:p>
    <w:p>
      <w:pPr>
        <w:pStyle w:val="ListParagraph"/>
        <w:numPr>
          <w:ilvl w:val="0"/>
          <w:numId w:val="2"/>
        </w:numPr>
        <w:spacing w:after="80"/>
      </w:pPr>
      <w:r>
        <w:t xml:space="preserve">Les montants doivent-ils être restitués en HT ou en TTC pour les deux pays ?</w:t>
      </w:r>
    </w:p>
    <w:p>
      <w:pPr>
        <w:pStyle w:val="ListParagraph"/>
        <w:numPr>
          <w:ilvl w:val="0"/>
          <w:numId w:val="2"/>
        </w:numPr>
        <w:spacing w:after="80"/>
      </w:pPr>
      <w:r>
        <w:t xml:space="preserve">Existe-t-il une correspondance entre le couple (MatriculeSAL, SIRET) du portail RH et le code employé (CodeE) de l'ED ?</w:t>
      </w:r>
    </w:p>
    <w:p>
      <w:pPr>
        <w:pStyle w:val="ListParagraph"/>
        <w:numPr>
          <w:ilvl w:val="0"/>
          <w:numId w:val="2"/>
        </w:numPr>
        <w:spacing w:after="80"/>
      </w:pPr>
      <w:r>
        <w:t xml:space="preserve">Les salariés des sociétés allemandes ont-ils un profil de trajet attribué par MobiPass ?</w:t>
      </w:r>
    </w:p>
    <w:p>
      <w:pPr>
        <w:pStyle w:val="ListParagraph"/>
        <w:numPr>
          <w:ilvl w:val="0"/>
          <w:numId w:val="2"/>
        </w:numPr>
        <w:spacing w:after="80"/>
      </w:pPr>
      <w:r>
        <w:t xml:space="preserve">Les offres partenaires Alltricks entrent-elles dans le périmètre de ce prototype ?</w:t>
      </w:r>
    </w:p>
    <w:p>
      <w:pPr>
        <w:pStyle w:val="ListParagraph"/>
        <w:numPr>
          <w:ilvl w:val="0"/>
          <w:numId w:val="2"/>
        </w:numPr>
        <w:spacing w:after="80"/>
      </w:pPr>
      <w:r>
        <w:t xml:space="preserve">Les rapports B4.1 à B4.3 proposés correspondent-ils aux rapports les plus emblématiques attendus par les responsables des ventes ?</w:t>
      </w:r>
    </w:p>
    <w:p>
      <w:pPr>
        <w:pStyle w:val="Heading1"/>
        <w:pageBreakBefore/>
      </w:pPr>
      <w:r>
        <w:t xml:space="preserve">Architecture fonctionnelle du SAD</w:t>
      </w:r>
    </w:p>
    <w:p>
      <w:pPr>
        <w:pStyle w:val="Heading2"/>
      </w:pPr>
      <w:r>
        <w:t xml:space="preserve">Identification des magasins de données</w:t>
      </w:r>
    </w:p>
    <w:p>
      <w:pPr>
        <w:spacing w:after="120"/>
      </w:pPr>
      <w:r>
        <w:rPr>
          <w:rFonts w:ascii="Calibri" w:cs="Calibri" w:eastAsia="Calibri" w:hAnsi="Calibri"/>
          <w:sz w:val="21"/>
          <w:szCs w:val="21"/>
        </w:rPr>
        <w:t xml:space="preserve">Nous avons identifié les magasins en fonction des classes de décideurs : chacune a son propre sujet d'analyse (la location d'un côté, l'achat de l'autre), ses propres axes et ses propres contraintes de restitution. Nous retenons donc deux magasins. Les deux responsables des ventes partagent le même magasin : leurs besoins sont identiques, seul le périmètre géographique change, ce qui se traite par un filtrage par pays plutôt que par deux magasins identiques à maintenir.</w:t>
      </w:r>
    </w:p>
    <w:p>
      <w:pPr>
        <w:spacing w:after="120"/>
      </w:pPr>
      <w:r>
        <w:rPr>
          <w:rFonts w:ascii="Calibri" w:cs="Calibri" w:eastAsia="Calibri" w:hAnsi="Calibri"/>
          <w:b/>
          <w:bCs/>
          <w:color w:val="1F4E79"/>
          <w:sz w:val="21"/>
          <w:szCs w:val="21"/>
        </w:rPr>
        <w:t xml:space="preserve">Dictionnaire des magasins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400"/>
        <w:gridCol w:w="3300"/>
        <w:gridCol w:w="3700"/>
      </w:tblGrid>
      <w:tr>
        <w:trPr>
          <w:tblHeader/>
        </w:trPr>
        <w:tc>
          <w:tcPr>
            <w:tcW w:type="dxa" w:w="11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Identifiant</w:t>
            </w:r>
          </w:p>
        </w:tc>
        <w:tc>
          <w:tcPr>
            <w:tcW w:type="dxa" w:w="39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Description</w:t>
            </w:r>
          </w:p>
        </w:tc>
        <w:tc>
          <w:tcPr>
            <w:tcW w:type="dxa" w:w="2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Utilisateurs</w:t>
            </w:r>
          </w:p>
        </w:tc>
        <w:tc>
          <w:tcPr>
            <w:tcW w:type="dxa" w:w="33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Outils de stockage</w:t>
            </w:r>
          </w:p>
        </w:tc>
        <w:tc>
          <w:tcPr>
            <w:tcW w:type="dxa" w:w="3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Outils de restitution</w:t>
            </w:r>
          </w:p>
        </w:tc>
      </w:tr>
      <w:tr>
        <w:trPr>
          <w:cantSplit/>
        </w:trPr>
        <w:tc>
          <w:tcPr>
            <w:tcW w:type="dxa" w:w="11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 Locations</w:t>
            </w:r>
          </w:p>
        </w:tc>
        <w:tc>
          <w:tcPr>
            <w:tcW w:type="dxa" w:w="3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Permet de suivre l'activité de location (durées, montants au prix public et montants réellement payés) par exemplaire, employé, société et période, afin de mieux anticiper les périodes de tension sur le parc.</w:t>
            </w:r>
          </w:p>
        </w:tc>
        <w:tc>
          <w:tcPr>
            <w:tcW w:type="dxa" w:w="2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 des locations</w:t>
            </w:r>
          </w:p>
        </w:tc>
        <w:tc>
          <w:tcPr>
            <w:tcW w:type="dxa" w:w="3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Système R-OLAP sous Oracle 19c</w:t>
            </w:r>
          </w:p>
          <w:p>
            <w:pPr>
              <w:spacing w:after="0"/>
            </w:pPr>
            <w:r>
              <w:rPr>
                <w:rFonts w:ascii="Calibri" w:cs="Calibri" w:eastAsia="Calibri" w:hAnsi="Calibri"/>
                <w:sz w:val="18"/>
                <w:szCs w:val="18"/>
              </w:rPr>
              <w:t xml:space="preserve">Schéma en étoile (fait Louer)</w:t>
            </w:r>
          </w:p>
          <w:p>
            <w:pPr>
              <w:spacing w:after="0"/>
            </w:pPr>
            <w:r>
              <w:rPr>
                <w:rFonts w:ascii="Calibri" w:cs="Calibri" w:eastAsia="Calibri" w:hAnsi="Calibri"/>
                <w:sz w:val="18"/>
                <w:szCs w:val="18"/>
              </w:rPr>
              <w:t xml:space="preserve">Données agrégées : vues matérialisées par semaine et par mois</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Power BI (connexion DirectQuery)</w:t>
            </w:r>
          </w:p>
          <w:p>
            <w:pPr>
              <w:spacing w:after="0"/>
            </w:pPr>
            <w:r>
              <w:rPr>
                <w:rFonts w:ascii="Calibri" w:cs="Calibri" w:eastAsia="Calibri" w:hAnsi="Calibri"/>
                <w:sz w:val="18"/>
                <w:szCs w:val="18"/>
              </w:rPr>
              <w:t xml:space="preserve">Rapports prêts à l'emploi (B1)</w:t>
            </w:r>
          </w:p>
          <w:p>
            <w:pPr>
              <w:spacing w:after="0"/>
            </w:pPr>
            <w:r>
              <w:rPr>
                <w:rFonts w:ascii="Calibri" w:cs="Calibri" w:eastAsia="Calibri" w:hAnsi="Calibri"/>
                <w:sz w:val="18"/>
                <w:szCs w:val="18"/>
              </w:rPr>
              <w:t xml:space="preserve">Navigation OLAP : forage, filtres (B2)</w:t>
            </w:r>
          </w:p>
        </w:tc>
      </w:tr>
      <w:tr>
        <w:trPr>
          <w:cantSplit/>
        </w:trPr>
        <w:tc>
          <w:tcPr>
            <w:tcW w:type="dxa" w:w="11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MD2 Ventes</w:t>
            </w:r>
          </w:p>
        </w:tc>
        <w:tc>
          <w:tcPr>
            <w:tcW w:type="dxa" w:w="3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Permet de piloter les ventes à moyen et long terme (quantités, montants payés, bénéfices) par produit, employé, société et territoire, afin d'identifier les gammes les plus adaptées à chaque lieu.</w:t>
            </w:r>
          </w:p>
        </w:tc>
        <w:tc>
          <w:tcPr>
            <w:tcW w:type="dxa" w:w="2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Responsables des ventes</w:t>
            </w:r>
          </w:p>
          <w:p>
            <w:pPr>
              <w:spacing w:after="0"/>
            </w:pPr>
            <w:r>
              <w:rPr>
                <w:rFonts w:ascii="Calibri" w:cs="Calibri" w:eastAsia="Calibri" w:hAnsi="Calibri"/>
                <w:sz w:val="18"/>
                <w:szCs w:val="18"/>
              </w:rPr>
              <w:t xml:space="preserve">(Lyon : France ; Berlin : Allemagne)</w:t>
            </w:r>
          </w:p>
        </w:tc>
        <w:tc>
          <w:tcPr>
            <w:tcW w:type="dxa" w:w="3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Power BI, mode importation</w:t>
            </w:r>
          </w:p>
          <w:p>
            <w:pPr>
              <w:spacing w:after="0"/>
            </w:pPr>
            <w:r>
              <w:rPr>
                <w:rFonts w:ascii="Calibri" w:cs="Calibri" w:eastAsia="Calibri" w:hAnsi="Calibri"/>
                <w:sz w:val="18"/>
                <w:szCs w:val="18"/>
              </w:rPr>
              <w:t xml:space="preserve">Modèle en étoile (fait Acheter)</w:t>
            </w:r>
          </w:p>
          <w:p>
            <w:pPr>
              <w:spacing w:after="0"/>
            </w:pPr>
            <w:r>
              <w:rPr>
                <w:rFonts w:ascii="Calibri" w:cs="Calibri" w:eastAsia="Calibri" w:hAnsi="Calibri"/>
                <w:sz w:val="18"/>
                <w:szCs w:val="18"/>
              </w:rPr>
              <w:t xml:space="preserve">Données alimentées depuis l'ED</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Power BI</w:t>
            </w:r>
          </w:p>
          <w:p>
            <w:pPr>
              <w:spacing w:after="0"/>
            </w:pPr>
            <w:r>
              <w:rPr>
                <w:rFonts w:ascii="Calibri" w:cs="Calibri" w:eastAsia="Calibri" w:hAnsi="Calibri"/>
                <w:sz w:val="18"/>
                <w:szCs w:val="18"/>
              </w:rPr>
              <w:t xml:space="preserve">Tableaux de bord et rapports (B3, B4)</w:t>
            </w:r>
          </w:p>
          <w:p>
            <w:pPr>
              <w:spacing w:after="0"/>
            </w:pPr>
            <w:r>
              <w:rPr>
                <w:rFonts w:ascii="Calibri" w:cs="Calibri" w:eastAsia="Calibri" w:hAnsi="Calibri"/>
                <w:sz w:val="18"/>
                <w:szCs w:val="18"/>
              </w:rPr>
              <w:t xml:space="preserve">Sécurité au niveau des lignes par pays</w:t>
            </w:r>
          </w:p>
        </w:tc>
      </w:tr>
    </w:tbl>
    <w:p>
      <w:pPr>
        <w:spacing w:after="60"/>
      </w:pPr>
      <w:r>
        <w:rPr>
          <w:rFonts w:ascii="Calibri" w:cs="Calibri" w:eastAsia="Calibri" w:hAnsi="Calibri"/>
          <w:sz w:val="21"/>
          <w:szCs w:val="21"/>
        </w:rPr>
        <w:t xml:space="preserve"/>
      </w:r>
    </w:p>
    <w:p>
      <w:pPr>
        <w:spacing w:after="120"/>
      </w:pPr>
      <w:r>
        <w:rPr>
          <w:rFonts w:ascii="Calibri" w:cs="Calibri" w:eastAsia="Calibri" w:hAnsi="Calibri"/>
          <w:b/>
          <w:bCs/>
          <w:color w:val="1F4E79"/>
          <w:sz w:val="21"/>
          <w:szCs w:val="21"/>
        </w:rPr>
        <w:t xml:space="preserve">Correspondance entre besoins et magasins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400"/>
        <w:gridCol w:w="7600"/>
        <w:gridCol w:w="4400"/>
      </w:tblGrid>
      <w:tr>
        <w:trPr>
          <w:tblHeader/>
        </w:trPr>
        <w:tc>
          <w:tcPr>
            <w:tcW w:type="dxa" w:w="2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Besoin</w:t>
            </w:r>
          </w:p>
        </w:tc>
        <w:tc>
          <w:tcPr>
            <w:tcW w:type="dxa" w:w="7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Restitutions</w:t>
            </w:r>
          </w:p>
        </w:tc>
        <w:tc>
          <w:tcPr>
            <w:tcW w:type="dxa" w:w="4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Magasin</w:t>
            </w:r>
          </w:p>
        </w:tc>
      </w:tr>
      <w:tr>
        <w:trPr>
          <w:cantSplit/>
        </w:trPr>
        <w:tc>
          <w:tcPr>
            <w:tcW w:type="dxa" w:w="24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B1</w:t>
            </w:r>
          </w:p>
        </w:tc>
        <w:tc>
          <w:tcPr>
            <w:tcW w:type="dxa" w:w="7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B1.1, B1.2, B1.3</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MD1 Locations</w:t>
            </w:r>
          </w:p>
        </w:tc>
      </w:tr>
      <w:tr>
        <w:trPr>
          <w:cantSplit/>
        </w:trPr>
        <w:tc>
          <w:tcPr>
            <w:tcW w:type="dxa" w:w="24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B2</w:t>
            </w:r>
          </w:p>
        </w:tc>
        <w:tc>
          <w:tcPr>
            <w:tcW w:type="dxa" w:w="7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B2.1, B2.2, B2.3</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MD1 Locations</w:t>
            </w:r>
          </w:p>
        </w:tc>
      </w:tr>
      <w:tr>
        <w:trPr>
          <w:cantSplit/>
        </w:trPr>
        <w:tc>
          <w:tcPr>
            <w:tcW w:type="dxa" w:w="24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B3</w:t>
            </w:r>
          </w:p>
        </w:tc>
        <w:tc>
          <w:tcPr>
            <w:tcW w:type="dxa" w:w="7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B3.1, B3.2, B3.3</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MD2 Ventes</w:t>
            </w:r>
          </w:p>
        </w:tc>
      </w:tr>
      <w:tr>
        <w:trPr>
          <w:cantSplit/>
        </w:trPr>
        <w:tc>
          <w:tcPr>
            <w:tcW w:type="dxa" w:w="24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B4</w:t>
            </w:r>
          </w:p>
        </w:tc>
        <w:tc>
          <w:tcPr>
            <w:tcW w:type="dxa" w:w="7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B4.1, B4.2, B4.3</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sz w:val="18"/>
                <w:szCs w:val="18"/>
              </w:rPr>
              <w:t xml:space="preserve">MD2 Ventes</w:t>
            </w:r>
          </w:p>
        </w:tc>
      </w:tr>
    </w:tbl>
    <w:p>
      <w:pPr>
        <w:spacing w:after="60"/>
      </w:pPr>
      <w:r>
        <w:rPr>
          <w:rFonts w:ascii="Calibri" w:cs="Calibri" w:eastAsia="Calibri" w:hAnsi="Calibri"/>
          <w:sz w:val="21"/>
          <w:szCs w:val="21"/>
        </w:rPr>
        <w:t xml:space="preserve"/>
      </w:r>
    </w:p>
    <w:p>
      <w:pPr>
        <w:spacing w:after="120"/>
      </w:pPr>
      <w:r>
        <w:rPr>
          <w:rFonts w:ascii="Calibri" w:cs="Calibri" w:eastAsia="Calibri" w:hAnsi="Calibri"/>
          <w:sz w:val="20"/>
          <w:szCs w:val="20"/>
        </w:rPr>
        <w:t xml:space="preserve">Justification des outils : le responsable des locations exige des temps de réponse extrêmement rapides sur des analyses quotidiennes ; nous stockons donc des agrégats précalculés dans Oracle, au plus près de l'ED. Pour les ventes, l'environnement n'est pas imposé : nous retenons Power BI, déjà utilisé et maintenu par le service informatique de WorldMobility, ce qui limite les coûts de formation et de maintenance.</w:t>
      </w:r>
    </w:p>
    <w:p>
      <w:pPr>
        <w:pStyle w:val="Heading2"/>
        <w:pageBreakBefore/>
      </w:pPr>
      <w:r>
        <w:t xml:space="preserve">Données sources</w:t>
      </w:r>
    </w:p>
    <w:p>
      <w:pPr>
        <w:spacing w:after="120"/>
      </w:pPr>
      <w:r>
        <w:rPr>
          <w:rFonts w:ascii="Calibri" w:cs="Calibri" w:eastAsia="Calibri" w:hAnsi="Calibri"/>
          <w:sz w:val="21"/>
          <w:szCs w:val="21"/>
        </w:rPr>
        <w:t xml:space="preserve">Nous recensons ci-dessous toutes les sources nécessaires aux deux magasins. Les sources S2 à S5 sont nouvelles par rapport à la première version du SAD ; S6 correspond à l'ED actuel, dont nous reprenons l'historique. Les schémas conceptuels des nouvelles sources sont fournis dans le fichier draw.io joint (MobiPass_Sources.drawio).</w:t>
      </w:r>
    </w:p>
    <w:p>
      <w:pPr>
        <w:spacing w:after="80"/>
      </w:pPr>
      <w:r>
        <w:rPr>
          <w:rFonts w:ascii="Calibri" w:cs="Calibri" w:eastAsia="Calibri" w:hAnsi="Calibri"/>
          <w:b/>
          <w:bCs/>
          <w:color w:val="1F4E79"/>
          <w:sz w:val="21"/>
          <w:szCs w:val="21"/>
        </w:rPr>
        <w:t xml:space="preserve">Généralités</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600"/>
        <w:gridCol w:w="2000"/>
        <w:gridCol w:w="2200"/>
        <w:gridCol w:w="1700"/>
        <w:gridCol w:w="1700"/>
      </w:tblGrid>
      <w:tr>
        <w:trPr>
          <w:tblHeader/>
        </w:trPr>
        <w:tc>
          <w:tcPr>
            <w:tcW w:type="dxa" w:w="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Réf.</w:t>
            </w:r>
          </w:p>
        </w:tc>
        <w:tc>
          <w:tcPr>
            <w:tcW w:type="dxa" w:w="23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Source</w:t>
            </w:r>
          </w:p>
        </w:tc>
        <w:tc>
          <w:tcPr>
            <w:tcW w:type="dxa" w:w="3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Description</w:t>
            </w:r>
          </w:p>
        </w:tc>
        <w:tc>
          <w:tcPr>
            <w:tcW w:type="dxa" w:w="20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Propriétaire</w:t>
            </w:r>
          </w:p>
        </w:tc>
        <w:tc>
          <w:tcPr>
            <w:tcW w:type="dxa" w:w="22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Localisation</w:t>
            </w:r>
          </w:p>
        </w:tc>
        <w:tc>
          <w:tcPr>
            <w:tcW w:type="dxa" w:w="1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Type</w:t>
            </w:r>
          </w:p>
        </w:tc>
        <w:tc>
          <w:tcPr>
            <w:tcW w:type="dxa" w:w="1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Support / fréquence</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S1</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ERP SAP WorldMobility</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Données transactionnelles des achats, réservations et locations des salariés.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WorldMobility (groupe)</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Serveurs du groupe</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BD relationnelle (ERP)</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Extraction · quotidienne</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S2</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BD de production MobiPass : catalogue et parc</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Produits, générations, fabricants, agences, exemplaires et tarifs par pays et par période.</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MobiPass</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Serveur MobiPass, Lyon</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BD Oracle</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Accès direct · quotidienne</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S3</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Portail RH des sociétés clientes françaises</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Salariés inscrits par les services RH, avec leur dernier métier (codification ROME).</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Service informatique WorldMobility</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Portail Web</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BD relationnelle</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Extraction · mensuelle</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S4</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Fichiers salariés des sociétés allemandes</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Liste des salariés transmise par les sociétés allemandes, sans indication de métier.</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MobiPass Deutschland GmbH</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Berlin</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Fichiers (CSV / Excel)</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Dépôt de fichier · à chaque envoi</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S5</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Référentiels externes</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ROME (4 niveaux), type d'entreprise et catégories juridiques INSEE (3 niveaux), découpage administratif de l'Allemagne.</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France Travail, INSEE, sources publiques</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Sites Web (open data)</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Fichiers (CSV / Excel)</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Téléchargement · ponctuel</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S6</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Entrepôt de données actuel (V1)</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Historique des achats, réservations et locations des salariés des sociétés françaises.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MobiPass</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Serveur MobiPass, Lyon</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BD Oracle 19c</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val="false"/>
                <w:iCs w:val="false"/>
                <w:sz w:val="18"/>
                <w:szCs w:val="18"/>
              </w:rPr>
              <w:t xml:space="preserve">Reprise initiale · une fois</w:t>
            </w:r>
          </w:p>
        </w:tc>
      </w:tr>
      <w:tr>
        <w:trPr>
          <w:cantSplit/>
        </w:trPr>
        <w:tc>
          <w:tcPr>
            <w:tcW w:type="dxa" w:w="7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S7</w:t>
            </w:r>
          </w:p>
        </w:tc>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Offres partenaires Alltricks</w:t>
            </w:r>
          </w:p>
        </w:tc>
        <w:tc>
          <w:tcPr>
            <w:tcW w:type="dxa" w:w="3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Réduction de 20 % sur les pièces détachées et accessoires.</w:t>
            </w:r>
          </w:p>
        </w:tc>
        <w:tc>
          <w:tcPr>
            <w:tcW w:type="dxa" w:w="20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Alltricks</w:t>
            </w:r>
          </w:p>
        </w:tc>
        <w:tc>
          <w:tcPr>
            <w:tcW w:type="dxa" w:w="2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Site Web</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Catalogue Web</w:t>
            </w:r>
          </w:p>
        </w:tc>
        <w:tc>
          <w:tcPr>
            <w:tcW w:type="dxa" w:w="1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i/>
                <w:iCs/>
                <w:color w:val="808080"/>
                <w:sz w:val="18"/>
                <w:szCs w:val="18"/>
              </w:rPr>
              <w:t xml:space="preserve">Hors périmètre du POC</w:t>
            </w:r>
          </w:p>
        </w:tc>
      </w:tr>
    </w:tbl>
    <w:p>
      <w:pPr>
        <w:spacing w:after="60"/>
      </w:pPr>
      <w:r>
        <w:rPr>
          <w:rFonts w:ascii="Calibri" w:cs="Calibri" w:eastAsia="Calibri" w:hAnsi="Calibri"/>
          <w:sz w:val="21"/>
          <w:szCs w:val="21"/>
        </w:rPr>
        <w:t xml:space="preserve"/>
      </w:r>
    </w:p>
    <w:p>
      <w:pPr>
        <w:spacing w:after="80"/>
      </w:pPr>
      <w:r>
        <w:rPr>
          <w:rFonts w:ascii="Calibri" w:cs="Calibri" w:eastAsia="Calibri" w:hAnsi="Calibri"/>
          <w:b/>
          <w:bCs/>
          <w:color w:val="1F4E79"/>
          <w:sz w:val="21"/>
          <w:szCs w:val="21"/>
        </w:rPr>
        <w:t xml:space="preserve">S2 : BD de production MobiPass (catalogue et parc)</w:t>
      </w:r>
    </w:p>
    <w:p>
      <w:pPr>
        <w:pStyle w:val="ListParagraph"/>
        <w:numPr>
          <w:ilvl w:val="0"/>
          <w:numId w:val="2"/>
        </w:numPr>
        <w:spacing w:after="40"/>
      </w:pPr>
      <w:r>
        <w:rPr>
          <w:b/>
          <w:bCs/>
          <w:sz w:val="20"/>
          <w:szCs w:val="20"/>
        </w:rPr>
        <w:t xml:space="preserve">Produit</w:t>
      </w:r>
      <w:r>
        <w:rPr>
          <w:sz w:val="20"/>
          <w:szCs w:val="20"/>
        </w:rPr>
        <w:t xml:space="preserve">(CodeP, NomP, DescriptifP, PoidsKg, AutonomieKm, CodeGEN#)</w:t>
      </w:r>
    </w:p>
    <w:p>
      <w:pPr>
        <w:pStyle w:val="ListParagraph"/>
        <w:numPr>
          <w:ilvl w:val="0"/>
          <w:numId w:val="2"/>
        </w:numPr>
        <w:spacing w:after="40"/>
      </w:pPr>
      <w:r>
        <w:rPr>
          <w:b/>
          <w:bCs/>
          <w:sz w:val="20"/>
          <w:szCs w:val="20"/>
        </w:rPr>
        <w:t xml:space="preserve">Generation</w:t>
      </w:r>
      <w:r>
        <w:rPr>
          <w:sz w:val="20"/>
          <w:szCs w:val="20"/>
        </w:rPr>
        <w:t xml:space="preserve">(CodeGEN, NomGEN, DateSortieGEN, DateArretGEN, CodeFAB#)</w:t>
      </w:r>
    </w:p>
    <w:p>
      <w:pPr>
        <w:pStyle w:val="ListParagraph"/>
        <w:numPr>
          <w:ilvl w:val="0"/>
          <w:numId w:val="2"/>
        </w:numPr>
        <w:spacing w:after="40"/>
      </w:pPr>
      <w:r>
        <w:rPr>
          <w:b/>
          <w:bCs/>
          <w:sz w:val="20"/>
          <w:szCs w:val="20"/>
        </w:rPr>
        <w:t xml:space="preserve">Fabricant</w:t>
      </w:r>
      <w:r>
        <w:rPr>
          <w:sz w:val="20"/>
          <w:szCs w:val="20"/>
        </w:rPr>
        <w:t xml:space="preserve">(CodeFAB, NomFAB, PaysFAB)</w:t>
      </w:r>
    </w:p>
    <w:p>
      <w:pPr>
        <w:pStyle w:val="ListParagraph"/>
        <w:numPr>
          <w:ilvl w:val="0"/>
          <w:numId w:val="2"/>
        </w:numPr>
        <w:spacing w:after="40"/>
      </w:pPr>
      <w:r>
        <w:rPr>
          <w:b/>
          <w:bCs/>
          <w:sz w:val="20"/>
          <w:szCs w:val="20"/>
        </w:rPr>
        <w:t xml:space="preserve">Agence</w:t>
      </w:r>
      <w:r>
        <w:rPr>
          <w:sz w:val="20"/>
          <w:szCs w:val="20"/>
        </w:rPr>
        <w:t xml:space="preserve">(CodeAG, NomAG, VilleAG, PaysAG)</w:t>
      </w:r>
    </w:p>
    <w:p>
      <w:pPr>
        <w:pStyle w:val="ListParagraph"/>
        <w:numPr>
          <w:ilvl w:val="0"/>
          <w:numId w:val="2"/>
        </w:numPr>
        <w:spacing w:after="40"/>
      </w:pPr>
      <w:r>
        <w:rPr>
          <w:b/>
          <w:bCs/>
          <w:sz w:val="20"/>
          <w:szCs w:val="20"/>
        </w:rPr>
        <w:t xml:space="preserve">Exemplaire</w:t>
      </w:r>
      <w:r>
        <w:rPr>
          <w:sz w:val="20"/>
          <w:szCs w:val="20"/>
        </w:rPr>
        <w:t xml:space="preserve">(CodeEX, NumSerieEX, DateMiseServiceEX, DateReformeEX, CodeP#, CodeAG#)</w:t>
      </w:r>
    </w:p>
    <w:p>
      <w:pPr>
        <w:pStyle w:val="ListParagraph"/>
        <w:numPr>
          <w:ilvl w:val="0"/>
          <w:numId w:val="2"/>
        </w:numPr>
        <w:spacing w:after="40"/>
      </w:pPr>
      <w:r>
        <w:rPr>
          <w:b/>
          <w:bCs/>
          <w:sz w:val="20"/>
          <w:szCs w:val="20"/>
        </w:rPr>
        <w:t xml:space="preserve">Tarif</w:t>
      </w:r>
      <w:r>
        <w:rPr>
          <w:sz w:val="20"/>
          <w:szCs w:val="20"/>
        </w:rPr>
        <w:t xml:space="preserve">(CodeP#, PaysTarif, DateDebutTarif, DateFinTarif, Prix_loc_jour, Prix_vente, ModePrix)</w:t>
      </w:r>
    </w:p>
    <w:p>
      <w:pPr>
        <w:spacing w:after="40"/>
      </w:pPr>
      <w:r>
        <w:rPr>
          <w:rFonts w:ascii="Calibri" w:cs="Calibri" w:eastAsia="Calibri" w:hAnsi="Calibri"/>
          <w:b/>
          <w:bCs/>
          <w:sz w:val="20"/>
          <w:szCs w:val="20"/>
        </w:rPr>
        <w:t xml:space="preserve">Règles de gestion :</w:t>
      </w:r>
    </w:p>
    <w:p>
      <w:pPr>
        <w:pStyle w:val="ListParagraph"/>
        <w:numPr>
          <w:ilvl w:val="0"/>
          <w:numId w:val="2"/>
        </w:numPr>
        <w:spacing w:after="60"/>
      </w:pPr>
      <w:r>
        <w:rPr>
          <w:sz w:val="20"/>
          <w:szCs w:val="20"/>
        </w:rPr>
        <w:t xml:space="preserve">RG1 : un produit appartient à une seule génération ; une génération est conçue par un seul fabricant.</w:t>
      </w:r>
    </w:p>
    <w:p>
      <w:pPr>
        <w:pStyle w:val="ListParagraph"/>
        <w:numPr>
          <w:ilvl w:val="0"/>
          <w:numId w:val="2"/>
        </w:numPr>
        <w:spacing w:after="60"/>
      </w:pPr>
      <w:r>
        <w:rPr>
          <w:sz w:val="20"/>
          <w:szCs w:val="20"/>
        </w:rPr>
        <w:t xml:space="preserve">RG2 : le nom du fabricant ne correspond pas toujours à la marque (MarqueP) saisie dans l'ED : les deux informations sont conservées.</w:t>
      </w:r>
    </w:p>
    <w:p>
      <w:pPr>
        <w:pStyle w:val="ListParagraph"/>
        <w:numPr>
          <w:ilvl w:val="0"/>
          <w:numId w:val="2"/>
        </w:numPr>
        <w:spacing w:after="60"/>
      </w:pPr>
      <w:r>
        <w:rPr>
          <w:sz w:val="20"/>
          <w:szCs w:val="20"/>
        </w:rPr>
        <w:t xml:space="preserve">RG3 : un exemplaire est rattaché à un seul produit et à une seule agence ; sa date de réforme est vide tant qu'il est en service.</w:t>
      </w:r>
    </w:p>
    <w:p>
      <w:pPr>
        <w:pStyle w:val="ListParagraph"/>
        <w:numPr>
          <w:ilvl w:val="0"/>
          <w:numId w:val="2"/>
        </w:numPr>
        <w:spacing w:after="60"/>
      </w:pPr>
      <w:r>
        <w:rPr>
          <w:sz w:val="20"/>
          <w:szCs w:val="20"/>
        </w:rPr>
        <w:t xml:space="preserve">RG4 : un tarif est propre à un produit, un pays et une période [DateDebutTarif ; DateFinTarif]. Le tarif applicable à une opération est celui valable à sa date.</w:t>
      </w:r>
    </w:p>
    <w:p>
      <w:pPr>
        <w:pStyle w:val="ListParagraph"/>
        <w:numPr>
          <w:ilvl w:val="0"/>
          <w:numId w:val="2"/>
        </w:numPr>
        <w:spacing w:after="60"/>
      </w:pPr>
      <w:r>
        <w:rPr>
          <w:sz w:val="20"/>
          <w:szCs w:val="20"/>
        </w:rPr>
        <w:t xml:space="preserve">RG5 : les tarifs français sont exprimés TTC (TVA 20 %), les tarifs allemands HT (TVA 19 %) ; ModePrix vaut « TTC » ou « HT ».</w:t>
      </w:r>
    </w:p>
    <w:p>
      <w:pPr>
        <w:spacing w:after="80"/>
      </w:pPr>
      <w:r>
        <w:rPr>
          <w:rFonts w:ascii="Calibri" w:cs="Calibri" w:eastAsia="Calibri" w:hAnsi="Calibri"/>
          <w:b/>
          <w:bCs/>
          <w:color w:val="1F4E79"/>
          <w:sz w:val="21"/>
          <w:szCs w:val="21"/>
        </w:rPr>
        <w:t xml:space="preserve">S3 : Portail RH des sociétés clientes françaises</w:t>
      </w:r>
    </w:p>
    <w:p>
      <w:pPr>
        <w:pStyle w:val="ListParagraph"/>
        <w:numPr>
          <w:ilvl w:val="0"/>
          <w:numId w:val="2"/>
        </w:numPr>
        <w:spacing w:after="40"/>
      </w:pPr>
      <w:r>
        <w:rPr>
          <w:b/>
          <w:bCs/>
          <w:sz w:val="20"/>
          <w:szCs w:val="20"/>
        </w:rPr>
        <w:t xml:space="preserve">Salarie</w:t>
      </w:r>
      <w:r>
        <w:rPr>
          <w:sz w:val="20"/>
          <w:szCs w:val="20"/>
        </w:rPr>
        <w:t xml:space="preserve">(MatriculeSAL, SIRET#, NomSAL, PrenomSAL, DateNaissSAL, DateEntreeSAL, TypeContratSAL, CPResidenceSAL, LibelleServiceSAL, CodeAPP#)</w:t>
      </w:r>
    </w:p>
    <w:p>
      <w:pPr>
        <w:pStyle w:val="ListParagraph"/>
        <w:numPr>
          <w:ilvl w:val="0"/>
          <w:numId w:val="2"/>
        </w:numPr>
        <w:spacing w:after="40"/>
      </w:pPr>
      <w:r>
        <w:rPr>
          <w:b/>
          <w:bCs/>
          <w:sz w:val="20"/>
          <w:szCs w:val="20"/>
        </w:rPr>
        <w:t xml:space="preserve">Appellation</w:t>
      </w:r>
      <w:r>
        <w:rPr>
          <w:sz w:val="20"/>
          <w:szCs w:val="20"/>
        </w:rPr>
        <w:t xml:space="preserve">(CodeAPP, LibelleAPP, CodeROME#)</w:t>
      </w:r>
    </w:p>
    <w:p>
      <w:pPr>
        <w:pStyle w:val="ListParagraph"/>
        <w:numPr>
          <w:ilvl w:val="0"/>
          <w:numId w:val="2"/>
        </w:numPr>
        <w:spacing w:after="40"/>
      </w:pPr>
      <w:r>
        <w:rPr>
          <w:b/>
          <w:bCs/>
          <w:sz w:val="20"/>
          <w:szCs w:val="20"/>
        </w:rPr>
        <w:t xml:space="preserve">FicheMetier</w:t>
      </w:r>
      <w:r>
        <w:rPr>
          <w:sz w:val="20"/>
          <w:szCs w:val="20"/>
        </w:rPr>
        <w:t xml:space="preserve">(CodeROME, LibelleMetier, CodeDP#)</w:t>
      </w:r>
    </w:p>
    <w:p>
      <w:pPr>
        <w:pStyle w:val="ListParagraph"/>
        <w:numPr>
          <w:ilvl w:val="0"/>
          <w:numId w:val="2"/>
        </w:numPr>
        <w:spacing w:after="40"/>
      </w:pPr>
      <w:r>
        <w:rPr>
          <w:b/>
          <w:bCs/>
          <w:sz w:val="20"/>
          <w:szCs w:val="20"/>
        </w:rPr>
        <w:t xml:space="preserve">DomainePro</w:t>
      </w:r>
      <w:r>
        <w:rPr>
          <w:sz w:val="20"/>
          <w:szCs w:val="20"/>
        </w:rPr>
        <w:t xml:space="preserve">(CodeDP, LibelleDP, CodeGD#)</w:t>
      </w:r>
    </w:p>
    <w:p>
      <w:pPr>
        <w:pStyle w:val="ListParagraph"/>
        <w:numPr>
          <w:ilvl w:val="0"/>
          <w:numId w:val="2"/>
        </w:numPr>
        <w:spacing w:after="40"/>
      </w:pPr>
      <w:r>
        <w:rPr>
          <w:b/>
          <w:bCs/>
          <w:sz w:val="20"/>
          <w:szCs w:val="20"/>
        </w:rPr>
        <w:t xml:space="preserve">GrandDomaine</w:t>
      </w:r>
      <w:r>
        <w:rPr>
          <w:sz w:val="20"/>
          <w:szCs w:val="20"/>
        </w:rPr>
        <w:t xml:space="preserve">(CodeGD, LibelleGD)</w:t>
      </w:r>
    </w:p>
    <w:p>
      <w:pPr>
        <w:spacing w:after="40"/>
      </w:pPr>
      <w:r>
        <w:rPr>
          <w:rFonts w:ascii="Calibri" w:cs="Calibri" w:eastAsia="Calibri" w:hAnsi="Calibri"/>
          <w:b/>
          <w:bCs/>
          <w:sz w:val="20"/>
          <w:szCs w:val="20"/>
        </w:rPr>
        <w:t xml:space="preserve">Règles de gestion :</w:t>
      </w:r>
    </w:p>
    <w:p>
      <w:pPr>
        <w:pStyle w:val="ListParagraph"/>
        <w:numPr>
          <w:ilvl w:val="0"/>
          <w:numId w:val="2"/>
        </w:numPr>
        <w:spacing w:after="60"/>
      </w:pPr>
      <w:r>
        <w:rPr>
          <w:sz w:val="20"/>
          <w:szCs w:val="20"/>
        </w:rPr>
        <w:t xml:space="preserve">RG6 : le matricule n'est unique qu'au sein d'une société (clé composée MatriculeSAL, SIRET) et n'a aucun lien avec le code employé (CodeE) de l'ED : une table de correspondance est nécessaire.</w:t>
      </w:r>
    </w:p>
    <w:p>
      <w:pPr>
        <w:pStyle w:val="ListParagraph"/>
        <w:numPr>
          <w:ilvl w:val="0"/>
          <w:numId w:val="2"/>
        </w:numPr>
        <w:spacing w:after="60"/>
      </w:pPr>
      <w:r>
        <w:rPr>
          <w:sz w:val="20"/>
          <w:szCs w:val="20"/>
        </w:rPr>
        <w:t xml:space="preserve">RG7 : le libellé du service est saisi librement et ne respecte pas toujours les noms de services de l'ED : un rapprochement (nettoyage) est nécessaire.</w:t>
      </w:r>
    </w:p>
    <w:p>
      <w:pPr>
        <w:pStyle w:val="ListParagraph"/>
        <w:numPr>
          <w:ilvl w:val="0"/>
          <w:numId w:val="2"/>
        </w:numPr>
        <w:spacing w:after="60"/>
      </w:pPr>
      <w:r>
        <w:rPr>
          <w:sz w:val="20"/>
          <w:szCs w:val="20"/>
        </w:rPr>
        <w:t xml:space="preserve">RG8 : le ROME comporte 4 niveaux imbriqués : appellation → fiche métier → domaine professionnel → grand domaine.</w:t>
      </w:r>
    </w:p>
    <w:p>
      <w:pPr>
        <w:pStyle w:val="ListParagraph"/>
        <w:numPr>
          <w:ilvl w:val="0"/>
          <w:numId w:val="2"/>
        </w:numPr>
        <w:spacing w:after="60"/>
      </w:pPr>
      <w:r>
        <w:rPr>
          <w:sz w:val="20"/>
          <w:szCs w:val="20"/>
        </w:rPr>
        <w:t xml:space="preserve">RG9 : la BD ne conserve que le dernier métier ; l'ED, alimenté une fois par mois, doit historiser les métiers successifs de chaque salarié.</w:t>
      </w:r>
    </w:p>
    <w:p>
      <w:pPr>
        <w:pStyle w:val="ListParagraph"/>
        <w:numPr>
          <w:ilvl w:val="0"/>
          <w:numId w:val="2"/>
        </w:numPr>
        <w:spacing w:after="60"/>
      </w:pPr>
      <w:r>
        <w:rPr>
          <w:sz w:val="20"/>
          <w:szCs w:val="20"/>
        </w:rPr>
        <w:t xml:space="preserve">RG10 : le portail ne concerne que les sociétés françaises.</w:t>
      </w:r>
    </w:p>
    <w:p>
      <w:pPr>
        <w:spacing w:after="80"/>
      </w:pPr>
      <w:r>
        <w:rPr>
          <w:rFonts w:ascii="Calibri" w:cs="Calibri" w:eastAsia="Calibri" w:hAnsi="Calibri"/>
          <w:b/>
          <w:bCs/>
          <w:color w:val="1F4E79"/>
          <w:sz w:val="21"/>
          <w:szCs w:val="21"/>
        </w:rPr>
        <w:t xml:space="preserve">S4 : Fichiers salariés des sociétés allemandes</w:t>
      </w:r>
    </w:p>
    <w:p>
      <w:pPr>
        <w:pStyle w:val="ListParagraph"/>
        <w:numPr>
          <w:ilvl w:val="0"/>
          <w:numId w:val="2"/>
        </w:numPr>
        <w:spacing w:after="60"/>
      </w:pPr>
      <w:r>
        <w:rPr>
          <w:sz w:val="20"/>
          <w:szCs w:val="20"/>
        </w:rPr>
        <w:t xml:space="preserve">RG11 : les fichiers contiennent l'identité des salariés et leur société, sans indication de métier : la dimension métier sera « non renseigné » pour ces salariés.</w:t>
      </w:r>
    </w:p>
    <w:p>
      <w:pPr>
        <w:spacing w:after="80"/>
      </w:pPr>
      <w:r>
        <w:rPr>
          <w:rFonts w:ascii="Calibri" w:cs="Calibri" w:eastAsia="Calibri" w:hAnsi="Calibri"/>
          <w:b/>
          <w:bCs/>
          <w:color w:val="1F4E79"/>
          <w:sz w:val="21"/>
          <w:szCs w:val="21"/>
        </w:rPr>
        <w:t xml:space="preserve">S5 : Référentiels externes</w:t>
      </w:r>
    </w:p>
    <w:p>
      <w:pPr>
        <w:pStyle w:val="ListParagraph"/>
        <w:numPr>
          <w:ilvl w:val="0"/>
          <w:numId w:val="2"/>
        </w:numPr>
        <w:spacing w:after="60"/>
      </w:pPr>
      <w:r>
        <w:rPr>
          <w:sz w:val="20"/>
          <w:szCs w:val="20"/>
        </w:rPr>
        <w:t xml:space="preserve">RG12 : chaque société française possède un type (microentreprise, PME, ETI, grande entreprise) et une catégorie juridique définie sur 3 niveaux (fichier Excel de l'INSEE).</w:t>
      </w:r>
    </w:p>
    <w:p>
      <w:pPr>
        <w:pStyle w:val="ListParagraph"/>
        <w:numPr>
          <w:ilvl w:val="0"/>
          <w:numId w:val="2"/>
        </w:numPr>
        <w:spacing w:after="60"/>
      </w:pPr>
      <w:r>
        <w:rPr>
          <w:sz w:val="20"/>
          <w:szCs w:val="20"/>
        </w:rPr>
        <w:t xml:space="preserve">RG13 : pour les sociétés allemandes, seule la ville est connue. Le découpage administratif est : Land → district (Regierungsbezirk, absent dans 9 Länder) → arrondissement (Landkreis ou kreisfreie Stadt) → commune (Gemeinde). Les 3 villes-États (Berlin, Hambourg, Brême) n'ont ni district ni arrondissement.</w:t>
      </w:r>
    </w:p>
    <w:p>
      <w:pPr>
        <w:spacing w:after="80"/>
      </w:pPr>
      <w:r>
        <w:rPr>
          <w:rFonts w:ascii="Calibri" w:cs="Calibri" w:eastAsia="Calibri" w:hAnsi="Calibri"/>
          <w:b/>
          <w:bCs/>
          <w:color w:val="1F4E79"/>
          <w:sz w:val="21"/>
          <w:szCs w:val="21"/>
        </w:rPr>
        <w:t xml:space="preserve">Dictionnaire des nouvelles données (extrait)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gridCol w:w="1600"/>
        <w:gridCol w:w="3800"/>
      </w:tblGrid>
      <w:tr>
        <w:trPr>
          <w:tblHeader/>
        </w:trPr>
        <w:tc>
          <w:tcPr>
            <w:tcW w:type="dxa" w:w="2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Nom du champ</w:t>
            </w:r>
          </w:p>
        </w:tc>
        <w:tc>
          <w:tcPr>
            <w:tcW w:type="dxa" w:w="6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Description</w:t>
            </w:r>
          </w:p>
        </w:tc>
        <w:tc>
          <w:tcPr>
            <w:tcW w:type="dxa" w:w="1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Type</w:t>
            </w:r>
          </w:p>
        </w:tc>
        <w:tc>
          <w:tcPr>
            <w:tcW w:type="dxa" w:w="38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Contrainte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CodeGEN / NomGEN</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 et nom d'une génération de produit</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CC(10) / CC(50)</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DateSortieGEN / DateArretGEN</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Dates de sortie et d'arrêt de commercialisation d'une génération</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DateArretGEN &gt; DateSortieGEN</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CodeFAB / NomFAB / PaysFAB</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Fabricant d'une génération</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CC(10) / CC(50) / CC(50)</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CodeAG / NomAG / VilleAG / PaysAG</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Agence de rattachement d'un exemplaire</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CC(10) / CC(50)</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PaysAG ∈ {France, Allemagne}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DateMiseServiceEX / DateReformeEX</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Dates de mise en service et de réforme d'un exemplaire</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DateReformeEX &gt; DateMiseServiceEX ou vide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PaysTarif</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Pays d'application d'un tarif</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CC(2)</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{FR, DE}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DateDebutTarif / DateFinTarif</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Période de validité d'un tarif</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DateFinTarif &gt; DateDebutTarif ou vide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ModePrix</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Mode d'expression du prix</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CC(3)</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{HT, TTC}</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MatriculeSAL / SIRET</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Matricule SIRH d'un salarié, unique dans sa société</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CC(20) / CC(14)</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Clé composée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TypeContratSAL</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Type de contrat d'un salarié</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CC(20)</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 CDI, CDD, alternance</w:t>
            </w:r>
          </w:p>
        </w:tc>
      </w:tr>
      <w:tr>
        <w:trPr>
          <w:cantSplit/>
        </w:trPr>
        <w:tc>
          <w:tcPr>
            <w:tcW w:type="dxa" w:w="2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CodeAPP / CodeROME / CodeDP / CodeGD</w:t>
            </w:r>
          </w:p>
        </w:tc>
        <w:tc>
          <w:tcPr>
            <w:tcW w:type="dxa" w:w="6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Codes des 4 niveaux du ROME</w:t>
            </w:r>
          </w:p>
        </w:tc>
        <w:tc>
          <w:tcPr>
            <w:tcW w:type="dxa" w:w="16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CC(6) / CC(5) / CC(3) / CC(1)</w:t>
            </w:r>
          </w:p>
        </w:tc>
        <w:tc>
          <w:tcPr>
            <w:tcW w:type="dxa" w:w="38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 M1805 / M18 / M</w:t>
            </w:r>
          </w:p>
        </w:tc>
      </w:tr>
    </w:tbl>
    <w:p>
      <w:pPr>
        <w:pStyle w:val="Heading2"/>
        <w:pageBreakBefore/>
      </w:pPr>
      <w:r>
        <w:t xml:space="preserve">Architecture globale du SAD</w:t>
      </w:r>
    </w:p>
    <w:p>
      <w:pPr>
        <w:spacing w:after="80"/>
      </w:pPr>
      <w:r>
        <w:rPr>
          <w:rFonts w:ascii="Calibri" w:cs="Calibri" w:eastAsia="Calibri" w:hAnsi="Calibri"/>
          <w:b/>
          <w:bCs/>
          <w:color w:val="1F4E79"/>
          <w:sz w:val="21"/>
          <w:szCs w:val="21"/>
        </w:rPr>
        <w:t xml:space="preserve">Tableau de correspondance sources / magasins</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1400"/>
        <w:gridCol w:w="1400"/>
        <w:gridCol w:w="1400"/>
        <w:gridCol w:w="1400"/>
        <w:gridCol w:w="1400"/>
      </w:tblGrid>
      <w:tr>
        <w:trPr>
          <w:tblHeader/>
        </w:trPr>
        <w:tc>
          <w:tcPr>
            <w:tcW w:type="dxa" w:w="26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Magasin</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S1 ERP</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S2 Catalogue</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S3 Portail RH</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S4 Fichiers DE</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S5 Référentiels</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S6 ED V1</w:t>
            </w:r>
          </w:p>
        </w:tc>
        <w:tc>
          <w:tcPr>
            <w:tcW w:type="dxa" w:w="1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S7 Alltricks</w:t>
            </w:r>
          </w:p>
        </w:tc>
      </w:tr>
      <w:tr>
        <w:trPr>
          <w:cantSplit/>
        </w:trPr>
        <w:tc>
          <w:tcPr>
            <w:tcW w:type="dxa" w:w="26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MD1 Locations</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X (géo DE)</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
            </w:r>
          </w:p>
        </w:tc>
      </w:tr>
      <w:tr>
        <w:trPr>
          <w:cantSplit/>
        </w:trPr>
        <w:tc>
          <w:tcPr>
            <w:tcW w:type="dxa" w:w="26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MD2 Ventes</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bCs/>
                <w:color w:val="1F4E79"/>
                <w:sz w:val="18"/>
                <w:szCs w:val="18"/>
              </w:rPr>
              <w:t xml:space="preserve">X</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
            </w:r>
          </w:p>
        </w:tc>
      </w:tr>
      <w:tr>
        <w:trPr>
          <w:cantSplit/>
        </w:trPr>
        <w:tc>
          <w:tcPr>
            <w:tcW w:type="dxa" w:w="26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Nombre de MD</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2</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2</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1</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2</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2</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2</w:t>
            </w:r>
          </w:p>
        </w:tc>
        <w:tc>
          <w:tcPr>
            <w:tcW w:type="dxa" w:w="1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jc w:val="center"/>
            </w:pPr>
            <w:r>
              <w:rPr>
                <w:rFonts w:ascii="Calibri" w:cs="Calibri" w:eastAsia="Calibri" w:hAnsi="Calibri"/>
                <w:b w:val="false"/>
                <w:bCs w:val="false"/>
                <w:color w:val="808080"/>
                <w:sz w:val="18"/>
                <w:szCs w:val="18"/>
              </w:rPr>
              <w:t xml:space="preserve">0</w:t>
            </w:r>
          </w:p>
        </w:tc>
      </w:tr>
    </w:tbl>
    <w:p>
      <w:pPr>
        <w:spacing w:after="60"/>
      </w:pPr>
      <w:r>
        <w:rPr>
          <w:rFonts w:ascii="Calibri" w:cs="Calibri" w:eastAsia="Calibri" w:hAnsi="Calibri"/>
          <w:sz w:val="21"/>
          <w:szCs w:val="21"/>
        </w:rPr>
        <w:t xml:space="preserve"/>
      </w:r>
    </w:p>
    <w:p>
      <w:pPr>
        <w:spacing w:after="80"/>
      </w:pPr>
      <w:r>
        <w:rPr>
          <w:rFonts w:ascii="Calibri" w:cs="Calibri" w:eastAsia="Calibri" w:hAnsi="Calibri"/>
          <w:b/>
          <w:bCs/>
          <w:color w:val="1F4E79"/>
          <w:sz w:val="21"/>
          <w:szCs w:val="21"/>
        </w:rPr>
        <w:t xml:space="preserve">Détail des données nécessaires par magasin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7400"/>
      </w:tblGrid>
      <w:tr>
        <w:trPr>
          <w:tblHeader/>
        </w:trPr>
        <w:tc>
          <w:tcPr>
            <w:tcW w:type="dxa" w:w="18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Magasin</w:t>
            </w:r>
          </w:p>
        </w:tc>
        <w:tc>
          <w:tcPr>
            <w:tcW w:type="dxa" w:w="52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Données nécessaires</w:t>
            </w:r>
          </w:p>
        </w:tc>
        <w:tc>
          <w:tcPr>
            <w:tcW w:type="dxa" w:w="7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Sources</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Locations : date de début, durée, exemplaire, employé</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S1 (nouvelles locations), S6 (historique)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Montant au prix public et montant payé</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S2.Tarif (prix valable à la date et dans le pays), S6.REDUCTION (% de réduction par gamme, profil et année)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Exemplaire et informations produit : produit, marque, gamme, secteur, génération, fabricant, agence</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S2.Exemplaire, S2.Produit, S2.Generation, S2.Fabricant, S2.Agence, S6.GAMME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Employé : nom, prénom, profil, classe de trajet</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S6.EMPLOYE, S6.CATEGORIE (FR), S4 (DE)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MD1 / MD2</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Géographie de la société, quel que soit son pays</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S6.SOCIETE (ville, département, région FR), S5 (découpage administratif DE)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MD2</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Achats : date, quantité, produit, employé</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S1 (nouveaux achats), S6.ACHAT (historique)</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MD2</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Montant payé et bénéfice</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S2.Tarif, S6.REDUCTION</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MD2</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Métier des salariés (ROME, 4 niveaux), historisé</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S3 (FR uniquement)</w:t>
            </w:r>
          </w:p>
        </w:tc>
      </w:tr>
      <w:tr>
        <w:trPr>
          <w:cantSplit/>
        </w:trPr>
        <w:tc>
          <w:tcPr>
            <w:tcW w:type="dxa" w:w="1800"/>
            <w:tcBorders>
              <w:top w:val="single" w:color="8EA9C1" w:sz="4"/>
              <w:left w:val="single" w:color="8EA9C1" w:sz="4"/>
              <w:bottom w:val="single" w:color="8EA9C1" w:sz="4"/>
              <w:right w:val="single" w:color="8EA9C1" w:sz="4"/>
            </w:tcBorders>
            <w:shd w:fill="DCE6F1" w:color="auto" w:val="clear"/>
            <w:tcMar>
              <w:top w:type="dxa" w:w="60"/>
              <w:left w:type="dxa" w:w="90"/>
              <w:bottom w:type="dxa" w:w="60"/>
              <w:right w:type="dxa" w:w="90"/>
            </w:tcMar>
            <w:vAlign w:val="center"/>
          </w:tcPr>
          <w:p>
            <w:pPr>
              <w:spacing w:after="0"/>
              <w:jc w:val="center"/>
            </w:pPr>
            <w:r>
              <w:rPr>
                <w:rFonts w:ascii="Calibri" w:cs="Calibri" w:eastAsia="Calibri" w:hAnsi="Calibri"/>
                <w:b/>
                <w:bCs/>
                <w:sz w:val="18"/>
                <w:szCs w:val="18"/>
              </w:rPr>
              <w:t xml:space="preserve">MD2</w:t>
            </w:r>
          </w:p>
        </w:tc>
        <w:tc>
          <w:tcPr>
            <w:tcW w:type="dxa" w:w="52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Société : type, catégorie juridique (3 niveaux)</w:t>
            </w:r>
          </w:p>
        </w:tc>
        <w:tc>
          <w:tcPr>
            <w:tcW w:type="dxa" w:w="7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sz w:val="18"/>
                <w:szCs w:val="18"/>
              </w:rPr>
              <w:t xml:space="preserve">S5 (INSEE), S6.SOCIETE</w:t>
            </w:r>
          </w:p>
        </w:tc>
      </w:tr>
    </w:tbl>
    <w:p>
      <w:pPr>
        <w:spacing w:after="60"/>
      </w:pPr>
      <w:r>
        <w:rPr>
          <w:rFonts w:ascii="Calibri" w:cs="Calibri" w:eastAsia="Calibri" w:hAnsi="Calibri"/>
          <w:sz w:val="21"/>
          <w:szCs w:val="21"/>
        </w:rPr>
        <w:t xml:space="preserve"/>
      </w:r>
    </w:p>
    <w:p>
      <w:pPr>
        <w:spacing w:after="80"/>
      </w:pPr>
      <w:r>
        <w:rPr>
          <w:rFonts w:ascii="Calibri" w:cs="Calibri" w:eastAsia="Calibri" w:hAnsi="Calibri"/>
          <w:b/>
          <w:bCs/>
          <w:color w:val="1F4E79"/>
          <w:sz w:val="21"/>
          <w:szCs w:val="21"/>
        </w:rPr>
        <w:t xml:space="preserve">Détection du besoin d'un entrepôt de données</w:t>
      </w:r>
    </w:p>
    <w:p>
      <w:pPr>
        <w:spacing w:after="120"/>
      </w:pPr>
      <w:r>
        <w:rPr>
          <w:rFonts w:ascii="Calibri" w:cs="Calibri" w:eastAsia="Calibri" w:hAnsi="Calibri"/>
          <w:sz w:val="21"/>
          <w:szCs w:val="21"/>
        </w:rPr>
        <w:t xml:space="preserve">Le tableau de correspondance montre que la mise en place (ou plutôt l'extension) d'un entrepôt de données central est nécessaire, pour les raisons suivantes :</w:t>
      </w:r>
    </w:p>
    <w:p>
      <w:pPr>
        <w:pStyle w:val="ListParagraph"/>
        <w:numPr>
          <w:ilvl w:val="0"/>
          <w:numId w:val="2"/>
        </w:numPr>
        <w:spacing w:after="60"/>
      </w:pPr>
      <w:r>
        <w:rPr>
          <w:sz w:val="20"/>
          <w:szCs w:val="20"/>
        </w:rPr>
        <w:t xml:space="preserve">Les deux magasins puisent dans plusieurs sources communes (S1, S2, S4, S5, S6) : sans ED, chaque magasin devrait refaire les mêmes extractions et les mêmes nettoyages, avec un risque de résultats incohérents entre la location et la vente.</w:t>
      </w:r>
    </w:p>
    <w:p>
      <w:pPr>
        <w:pStyle w:val="ListParagraph"/>
        <w:numPr>
          <w:ilvl w:val="0"/>
          <w:numId w:val="2"/>
        </w:numPr>
        <w:spacing w:after="60"/>
      </w:pPr>
      <w:r>
        <w:rPr>
          <w:sz w:val="20"/>
          <w:szCs w:val="20"/>
        </w:rPr>
        <w:t xml:space="preserve">Les deux magasins partagent les mêmes axes d'analyse (temps, produit, employé, société) : l'ED garantit des dimensions communes et un vocabulaire unique pour les deux classes de décideurs.</w:t>
      </w:r>
    </w:p>
    <w:p>
      <w:pPr>
        <w:pStyle w:val="ListParagraph"/>
        <w:numPr>
          <w:ilvl w:val="0"/>
          <w:numId w:val="2"/>
        </w:numPr>
        <w:spacing w:after="60"/>
      </w:pPr>
      <w:r>
        <w:rPr>
          <w:sz w:val="20"/>
          <w:szCs w:val="20"/>
        </w:rPr>
        <w:t xml:space="preserve">Plusieurs données doivent être historisées alors que les sources n'en gardent qu'une version : les métiers des salariés (RG9) et les tarifs par pays et par période (RG4). Seul un ED peut conserver cet historique.</w:t>
      </w:r>
    </w:p>
    <w:p>
      <w:pPr>
        <w:pStyle w:val="ListParagraph"/>
        <w:numPr>
          <w:ilvl w:val="0"/>
          <w:numId w:val="2"/>
        </w:numPr>
        <w:spacing w:after="60"/>
      </w:pPr>
      <w:r>
        <w:rPr>
          <w:sz w:val="20"/>
          <w:szCs w:val="20"/>
        </w:rPr>
        <w:t xml:space="preserve">Les sources sont hétérogènes et nécessitent des transformations lourdes avant analyse : correspondance matricule RH ↔ CodeE (RG6), rapprochement des libellés de services (RG7), conversion HT / TTC (RG5), géographie différente selon le pays (RG13).</w:t>
      </w:r>
    </w:p>
    <w:p>
      <w:pPr>
        <w:pStyle w:val="ListParagraph"/>
        <w:numPr>
          <w:ilvl w:val="0"/>
          <w:numId w:val="2"/>
        </w:numPr>
        <w:spacing w:after="60"/>
      </w:pPr>
      <w:r>
        <w:rPr>
          <w:sz w:val="20"/>
          <w:szCs w:val="20"/>
        </w:rPr>
        <w:t xml:space="preserve">Un ED existe déjà (V1, Oracle 19c, Lyon) avec deux ans d'historique : nous l'étendons plutôt que de repartir de zéro, ce qui protège l'investissement de MobiPass.</w:t>
      </w:r>
    </w:p>
    <w:p>
      <w:pPr>
        <w:spacing w:after="120"/>
      </w:pPr>
      <w:r>
        <w:rPr>
          <w:rFonts w:ascii="Calibri" w:cs="Calibri" w:eastAsia="Calibri" w:hAnsi="Calibri"/>
          <w:i/>
          <w:iCs/>
          <w:color w:val="595959"/>
          <w:sz w:val="20"/>
          <w:szCs w:val="20"/>
        </w:rPr>
        <w:t xml:space="preserve">Le schéma global de l'architecture est fourni dans le fichier MobiPass_Architecture_SAD.drawio.</w:t>
      </w:r>
    </w:p>
    <w:p>
      <w:pPr>
        <w:pStyle w:val="Heading1"/>
        <w:pageBreakBefore/>
      </w:pPr>
      <w:r>
        <w:t xml:space="preserve">Conception de l'entrepôt de données</w:t>
      </w:r>
    </w:p>
    <w:p>
      <w:pPr>
        <w:spacing w:after="120"/>
      </w:pPr>
      <w:r>
        <w:rPr>
          <w:rFonts w:ascii="Calibri" w:cs="Calibri" w:eastAsia="Calibri" w:hAnsi="Calibri"/>
          <w:sz w:val="21"/>
          <w:szCs w:val="21"/>
        </w:rPr>
        <w:t xml:space="preserve">L'entrepôt de données V2 est une évolution de l'ED actuel (V1, Oracle 19c) : nous conservons ses tables et son historique, nous en enrichissons certaines et nous en ajoutons de nouvelles pour répondre aux besoins des deux magasins. Le schéma conceptuel est fourni dans le fichier draw.io (page « 3. ED conceptuel »).</w:t>
      </w:r>
    </w:p>
    <w:p>
      <w:pPr>
        <w:pStyle w:val="Heading2"/>
      </w:pPr>
      <w:r>
        <w:t xml:space="preserve">Schéma logique relationnel déduit</w:t>
      </w:r>
    </w:p>
    <w:p>
      <w:pPr>
        <w:spacing w:after="120"/>
      </w:pPr>
      <w:r>
        <w:rPr>
          <w:rFonts w:ascii="Calibri" w:cs="Calibri" w:eastAsia="Calibri" w:hAnsi="Calibri"/>
          <w:i/>
          <w:iCs/>
          <w:color w:val="595959"/>
          <w:sz w:val="18"/>
          <w:szCs w:val="18"/>
        </w:rPr>
        <w:t xml:space="preserve">Clés primaires soulignées, clés étrangères suffixées par #. Couleur : bleu = table V1 inchangée, orange = table V1 modifiée, vert = nouvelle table.</w:t>
      </w:r>
    </w:p>
    <w:p>
      <w:pPr>
        <w:pStyle w:val="ListParagraph"/>
        <w:numPr>
          <w:ilvl w:val="0"/>
          <w:numId w:val="2"/>
        </w:numPr>
        <w:spacing w:after="40"/>
      </w:pPr>
      <w:r>
        <w:rPr>
          <w:b/>
          <w:bCs/>
          <w:color w:val="2E7D32"/>
          <w:sz w:val="20"/>
          <w:szCs w:val="20"/>
        </w:rPr>
        <w:t xml:space="preserve">PAYS</w:t>
      </w:r>
      <w:r>
        <w:rPr>
          <w:sz w:val="20"/>
          <w:szCs w:val="20"/>
        </w:rPr>
        <w:t xml:space="preserve">(</w:t>
      </w:r>
      <w:r>
        <w:rPr>
          <w:sz w:val="20"/>
          <w:szCs w:val="20"/>
          <w:u w:val="single"/>
        </w:rPr>
        <w:t xml:space="preserve">CodePays</w:t>
      </w:r>
      <w:r>
        <w:rPr>
          <w:sz w:val="20"/>
          <w:szCs w:val="20"/>
        </w:rPr>
        <w:t xml:space="preserve">, </w:t>
      </w:r>
      <w:r>
        <w:rPr>
          <w:sz w:val="20"/>
          <w:szCs w:val="20"/>
        </w:rPr>
        <w:t xml:space="preserve">NomPays</w:t>
      </w:r>
      <w:r>
        <w:rPr>
          <w:sz w:val="20"/>
          <w:szCs w:val="20"/>
        </w:rPr>
        <w:t xml:space="preserve">, </w:t>
      </w:r>
      <w:r>
        <w:rPr>
          <w:sz w:val="20"/>
          <w:szCs w:val="20"/>
        </w:rPr>
        <w:t xml:space="preserve">TauxTVA</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ZONE_GEO</w:t>
      </w:r>
      <w:r>
        <w:rPr>
          <w:sz w:val="20"/>
          <w:szCs w:val="20"/>
        </w:rPr>
        <w:t xml:space="preserve">(</w:t>
      </w:r>
      <w:r>
        <w:rPr>
          <w:sz w:val="20"/>
          <w:szCs w:val="20"/>
          <w:u w:val="single"/>
        </w:rPr>
        <w:t xml:space="preserve">CodeZG</w:t>
      </w:r>
      <w:r>
        <w:rPr>
          <w:sz w:val="20"/>
          <w:szCs w:val="20"/>
        </w:rPr>
        <w:t xml:space="preserve">, </w:t>
      </w:r>
      <w:r>
        <w:rPr>
          <w:sz w:val="20"/>
          <w:szCs w:val="20"/>
        </w:rPr>
        <w:t xml:space="preserve">NomZG</w:t>
      </w:r>
      <w:r>
        <w:rPr>
          <w:sz w:val="20"/>
          <w:szCs w:val="20"/>
        </w:rPr>
        <w:t xml:space="preserve">, </w:t>
      </w:r>
      <w:r>
        <w:rPr>
          <w:sz w:val="20"/>
          <w:szCs w:val="20"/>
        </w:rPr>
        <w:t xml:space="preserve">NiveauZG</w:t>
      </w:r>
      <w:r>
        <w:rPr>
          <w:sz w:val="20"/>
          <w:szCs w:val="20"/>
        </w:rPr>
        <w:t xml:space="preserve">, </w:t>
      </w:r>
      <w:r>
        <w:rPr>
          <w:sz w:val="20"/>
          <w:szCs w:val="20"/>
        </w:rPr>
        <w:t xml:space="preserve">CodePays#</w:t>
      </w:r>
      <w:r>
        <w:rPr>
          <w:sz w:val="20"/>
          <w:szCs w:val="20"/>
        </w:rPr>
        <w:t xml:space="preserve">, </w:t>
      </w:r>
      <w:r>
        <w:rPr>
          <w:sz w:val="20"/>
          <w:szCs w:val="20"/>
        </w:rPr>
        <w:t xml:space="preserve">CodeZG_Sup#</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1F4E79"/>
          <w:sz w:val="20"/>
          <w:szCs w:val="20"/>
        </w:rPr>
        <w:t xml:space="preserve">DOMAINE</w:t>
      </w:r>
      <w:r>
        <w:rPr>
          <w:sz w:val="20"/>
          <w:szCs w:val="20"/>
        </w:rPr>
        <w:t xml:space="preserve">(</w:t>
      </w:r>
      <w:r>
        <w:rPr>
          <w:sz w:val="20"/>
          <w:szCs w:val="20"/>
          <w:u w:val="single"/>
        </w:rPr>
        <w:t xml:space="preserve">CodeDO</w:t>
      </w:r>
      <w:r>
        <w:rPr>
          <w:sz w:val="20"/>
          <w:szCs w:val="20"/>
        </w:rPr>
        <w:t xml:space="preserve">, </w:t>
      </w:r>
      <w:r>
        <w:rPr>
          <w:sz w:val="20"/>
          <w:szCs w:val="20"/>
        </w:rPr>
        <w:t xml:space="preserve">NomDO</w:t>
      </w:r>
      <w:r>
        <w:rPr>
          <w:sz w:val="20"/>
          <w:szCs w:val="20"/>
        </w:rPr>
        <w:t xml:space="preserve">, </w:t>
      </w:r>
      <w:r>
        <w:rPr>
          <w:sz w:val="20"/>
          <w:szCs w:val="20"/>
        </w:rPr>
        <w:t xml:space="preserve">CodeDO_Sup#</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2E7D32"/>
          <w:sz w:val="20"/>
          <w:szCs w:val="20"/>
        </w:rPr>
        <w:t xml:space="preserve">CATEGORIE_JURIDIQUE</w:t>
      </w:r>
      <w:r>
        <w:rPr>
          <w:sz w:val="20"/>
          <w:szCs w:val="20"/>
        </w:rPr>
        <w:t xml:space="preserve">(</w:t>
      </w:r>
      <w:r>
        <w:rPr>
          <w:sz w:val="20"/>
          <w:szCs w:val="20"/>
          <w:u w:val="single"/>
        </w:rPr>
        <w:t xml:space="preserve">CodeCJ</w:t>
      </w:r>
      <w:r>
        <w:rPr>
          <w:sz w:val="20"/>
          <w:szCs w:val="20"/>
        </w:rPr>
        <w:t xml:space="preserve">, </w:t>
      </w:r>
      <w:r>
        <w:rPr>
          <w:sz w:val="20"/>
          <w:szCs w:val="20"/>
        </w:rPr>
        <w:t xml:space="preserve">LibelleCJ</w:t>
      </w:r>
      <w:r>
        <w:rPr>
          <w:sz w:val="20"/>
          <w:szCs w:val="20"/>
        </w:rPr>
        <w:t xml:space="preserve">, </w:t>
      </w:r>
      <w:r>
        <w:rPr>
          <w:sz w:val="20"/>
          <w:szCs w:val="20"/>
        </w:rPr>
        <w:t xml:space="preserve">NiveauCJ</w:t>
      </w:r>
      <w:r>
        <w:rPr>
          <w:sz w:val="20"/>
          <w:szCs w:val="20"/>
        </w:rPr>
        <w:t xml:space="preserve">, </w:t>
      </w:r>
      <w:r>
        <w:rPr>
          <w:sz w:val="20"/>
          <w:szCs w:val="20"/>
        </w:rPr>
        <w:t xml:space="preserve">CodeCJ_Sup#</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C55A11"/>
          <w:sz w:val="20"/>
          <w:szCs w:val="20"/>
        </w:rPr>
        <w:t xml:space="preserve">SOCIETE</w:t>
      </w:r>
      <w:r>
        <w:rPr>
          <w:sz w:val="20"/>
          <w:szCs w:val="20"/>
        </w:rPr>
        <w:t xml:space="preserve">(</w:t>
      </w:r>
      <w:r>
        <w:rPr>
          <w:sz w:val="20"/>
          <w:szCs w:val="20"/>
          <w:u w:val="single"/>
        </w:rPr>
        <w:t xml:space="preserve">CodeSOC</w:t>
      </w:r>
      <w:r>
        <w:rPr>
          <w:sz w:val="20"/>
          <w:szCs w:val="20"/>
        </w:rPr>
        <w:t xml:space="preserve">, </w:t>
      </w:r>
      <w:r>
        <w:rPr>
          <w:sz w:val="20"/>
          <w:szCs w:val="20"/>
        </w:rPr>
        <w:t xml:space="preserve">NomSOC</w:t>
      </w:r>
      <w:r>
        <w:rPr>
          <w:sz w:val="20"/>
          <w:szCs w:val="20"/>
        </w:rPr>
        <w:t xml:space="preserve">, </w:t>
      </w:r>
      <w:r>
        <w:rPr>
          <w:sz w:val="20"/>
          <w:szCs w:val="20"/>
        </w:rPr>
        <w:t xml:space="preserve">TypeSOC</w:t>
      </w:r>
      <w:r>
        <w:rPr>
          <w:sz w:val="20"/>
          <w:szCs w:val="20"/>
        </w:rPr>
        <w:t xml:space="preserve">, </w:t>
      </w:r>
      <w:r>
        <w:rPr>
          <w:sz w:val="20"/>
          <w:szCs w:val="20"/>
        </w:rPr>
        <w:t xml:space="preserve">CodeDO#</w:t>
      </w:r>
      <w:r>
        <w:rPr>
          <w:sz w:val="20"/>
          <w:szCs w:val="20"/>
        </w:rPr>
        <w:t xml:space="preserve">, </w:t>
      </w:r>
      <w:r>
        <w:rPr>
          <w:sz w:val="20"/>
          <w:szCs w:val="20"/>
        </w:rPr>
        <w:t xml:space="preserve">CodeCJ#</w:t>
      </w:r>
      <w:r>
        <w:rPr>
          <w:sz w:val="20"/>
          <w:szCs w:val="20"/>
        </w:rPr>
        <w:t xml:space="preserve">, </w:t>
      </w:r>
      <w:r>
        <w:rPr>
          <w:sz w:val="20"/>
          <w:szCs w:val="20"/>
        </w:rPr>
        <w:t xml:space="preserve">CodeZG#</w:t>
      </w:r>
      <w:r>
        <w:rPr>
          <w:sz w:val="20"/>
          <w:szCs w:val="20"/>
        </w:rPr>
        <w:t xml:space="preserve">)</w:t>
      </w:r>
      <w:r>
        <w:rPr>
          <w:i/>
          <w:iCs/>
          <w:color w:val="808080"/>
          <w:sz w:val="16"/>
          <w:szCs w:val="16"/>
        </w:rPr>
        <w:t xml:space="preserve">   [V1 modifiée]</w:t>
      </w:r>
    </w:p>
    <w:p>
      <w:pPr>
        <w:pStyle w:val="ListParagraph"/>
        <w:numPr>
          <w:ilvl w:val="0"/>
          <w:numId w:val="2"/>
        </w:numPr>
        <w:spacing w:after="40"/>
      </w:pPr>
      <w:r>
        <w:rPr>
          <w:b/>
          <w:bCs/>
          <w:color w:val="1F4E79"/>
          <w:sz w:val="20"/>
          <w:szCs w:val="20"/>
        </w:rPr>
        <w:t xml:space="preserve">SERVICE</w:t>
      </w:r>
      <w:r>
        <w:rPr>
          <w:sz w:val="20"/>
          <w:szCs w:val="20"/>
        </w:rPr>
        <w:t xml:space="preserve">(</w:t>
      </w:r>
      <w:r>
        <w:rPr>
          <w:sz w:val="20"/>
          <w:szCs w:val="20"/>
          <w:u w:val="single"/>
        </w:rPr>
        <w:t xml:space="preserve">CodeSE</w:t>
      </w:r>
      <w:r>
        <w:rPr>
          <w:sz w:val="20"/>
          <w:szCs w:val="20"/>
        </w:rPr>
        <w:t xml:space="preserve">, </w:t>
      </w:r>
      <w:r>
        <w:rPr>
          <w:sz w:val="20"/>
          <w:szCs w:val="20"/>
        </w:rPr>
        <w:t xml:space="preserve">NomSE</w:t>
      </w:r>
      <w:r>
        <w:rPr>
          <w:sz w:val="20"/>
          <w:szCs w:val="20"/>
        </w:rPr>
        <w:t xml:space="preserve">, </w:t>
      </w:r>
      <w:r>
        <w:rPr>
          <w:sz w:val="20"/>
          <w:szCs w:val="20"/>
        </w:rPr>
        <w:t xml:space="preserve">CodeSOC#</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1F4E79"/>
          <w:sz w:val="20"/>
          <w:szCs w:val="20"/>
        </w:rPr>
        <w:t xml:space="preserve">CATEGORIE</w:t>
      </w:r>
      <w:r>
        <w:rPr>
          <w:sz w:val="20"/>
          <w:szCs w:val="20"/>
        </w:rPr>
        <w:t xml:space="preserve">(</w:t>
      </w:r>
      <w:r>
        <w:rPr>
          <w:sz w:val="20"/>
          <w:szCs w:val="20"/>
          <w:u w:val="single"/>
        </w:rPr>
        <w:t xml:space="preserve">CodeCAT</w:t>
      </w:r>
      <w:r>
        <w:rPr>
          <w:sz w:val="20"/>
          <w:szCs w:val="20"/>
        </w:rPr>
        <w:t xml:space="preserve">, </w:t>
      </w:r>
      <w:r>
        <w:rPr>
          <w:sz w:val="20"/>
          <w:szCs w:val="20"/>
        </w:rPr>
        <w:t xml:space="preserve">NomCAT</w:t>
      </w:r>
      <w:r>
        <w:rPr>
          <w:sz w:val="20"/>
          <w:szCs w:val="20"/>
        </w:rPr>
        <w:t xml:space="preserve">, </w:t>
      </w:r>
      <w:r>
        <w:rPr>
          <w:sz w:val="20"/>
          <w:szCs w:val="20"/>
        </w:rPr>
        <w:t xml:space="preserve">SuperCAT</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C55A11"/>
          <w:sz w:val="20"/>
          <w:szCs w:val="20"/>
        </w:rPr>
        <w:t xml:space="preserve">EMPLOYE</w:t>
      </w:r>
      <w:r>
        <w:rPr>
          <w:sz w:val="20"/>
          <w:szCs w:val="20"/>
        </w:rPr>
        <w:t xml:space="preserve">(</w:t>
      </w:r>
      <w:r>
        <w:rPr>
          <w:sz w:val="20"/>
          <w:szCs w:val="20"/>
          <w:u w:val="single"/>
        </w:rPr>
        <w:t xml:space="preserve">CodeE</w:t>
      </w:r>
      <w:r>
        <w:rPr>
          <w:sz w:val="20"/>
          <w:szCs w:val="20"/>
        </w:rPr>
        <w:t xml:space="preserve">, </w:t>
      </w:r>
      <w:r>
        <w:rPr>
          <w:sz w:val="20"/>
          <w:szCs w:val="20"/>
        </w:rPr>
        <w:t xml:space="preserve">NomE</w:t>
      </w:r>
      <w:r>
        <w:rPr>
          <w:sz w:val="20"/>
          <w:szCs w:val="20"/>
        </w:rPr>
        <w:t xml:space="preserve">, </w:t>
      </w:r>
      <w:r>
        <w:rPr>
          <w:sz w:val="20"/>
          <w:szCs w:val="20"/>
        </w:rPr>
        <w:t xml:space="preserve">PrenomE</w:t>
      </w:r>
      <w:r>
        <w:rPr>
          <w:sz w:val="20"/>
          <w:szCs w:val="20"/>
        </w:rPr>
        <w:t xml:space="preserve">, </w:t>
      </w:r>
      <w:r>
        <w:rPr>
          <w:sz w:val="20"/>
          <w:szCs w:val="20"/>
        </w:rPr>
        <w:t xml:space="preserve">MatriculeSAL</w:t>
      </w:r>
      <w:r>
        <w:rPr>
          <w:sz w:val="20"/>
          <w:szCs w:val="20"/>
        </w:rPr>
        <w:t xml:space="preserve">, </w:t>
      </w:r>
      <w:r>
        <w:rPr>
          <w:sz w:val="20"/>
          <w:szCs w:val="20"/>
        </w:rPr>
        <w:t xml:space="preserve">SIRET</w:t>
      </w:r>
      <w:r>
        <w:rPr>
          <w:sz w:val="20"/>
          <w:szCs w:val="20"/>
        </w:rPr>
        <w:t xml:space="preserve">, </w:t>
      </w:r>
      <w:r>
        <w:rPr>
          <w:sz w:val="20"/>
          <w:szCs w:val="20"/>
        </w:rPr>
        <w:t xml:space="preserve">DateNaissE</w:t>
      </w:r>
      <w:r>
        <w:rPr>
          <w:sz w:val="20"/>
          <w:szCs w:val="20"/>
        </w:rPr>
        <w:t xml:space="preserve">, </w:t>
      </w:r>
      <w:r>
        <w:rPr>
          <w:sz w:val="20"/>
          <w:szCs w:val="20"/>
        </w:rPr>
        <w:t xml:space="preserve">DateEntreeE</w:t>
      </w:r>
      <w:r>
        <w:rPr>
          <w:sz w:val="20"/>
          <w:szCs w:val="20"/>
        </w:rPr>
        <w:t xml:space="preserve">, </w:t>
      </w:r>
      <w:r>
        <w:rPr>
          <w:sz w:val="20"/>
          <w:szCs w:val="20"/>
        </w:rPr>
        <w:t xml:space="preserve">CPResidenceE</w:t>
      </w:r>
      <w:r>
        <w:rPr>
          <w:sz w:val="20"/>
          <w:szCs w:val="20"/>
        </w:rPr>
        <w:t xml:space="preserve">, </w:t>
      </w:r>
      <w:r>
        <w:rPr>
          <w:sz w:val="20"/>
          <w:szCs w:val="20"/>
        </w:rPr>
        <w:t xml:space="preserve">CodeCAT#</w:t>
      </w:r>
      <w:r>
        <w:rPr>
          <w:sz w:val="20"/>
          <w:szCs w:val="20"/>
        </w:rPr>
        <w:t xml:space="preserve">, </w:t>
      </w:r>
      <w:r>
        <w:rPr>
          <w:sz w:val="20"/>
          <w:szCs w:val="20"/>
        </w:rPr>
        <w:t xml:space="preserve">CodeSE#</w:t>
      </w:r>
      <w:r>
        <w:rPr>
          <w:sz w:val="20"/>
          <w:szCs w:val="20"/>
        </w:rPr>
        <w:t xml:space="preserve">)</w:t>
      </w:r>
      <w:r>
        <w:rPr>
          <w:i/>
          <w:iCs/>
          <w:color w:val="808080"/>
          <w:sz w:val="16"/>
          <w:szCs w:val="16"/>
        </w:rPr>
        <w:t xml:space="preserve">   [V1 modifiée]</w:t>
      </w:r>
    </w:p>
    <w:p>
      <w:pPr>
        <w:pStyle w:val="ListParagraph"/>
        <w:numPr>
          <w:ilvl w:val="0"/>
          <w:numId w:val="2"/>
        </w:numPr>
        <w:spacing w:after="40"/>
      </w:pPr>
      <w:r>
        <w:rPr>
          <w:b/>
          <w:bCs/>
          <w:color w:val="2E7D32"/>
          <w:sz w:val="20"/>
          <w:szCs w:val="20"/>
        </w:rPr>
        <w:t xml:space="preserve">GRAND_DOMAINE</w:t>
      </w:r>
      <w:r>
        <w:rPr>
          <w:sz w:val="20"/>
          <w:szCs w:val="20"/>
        </w:rPr>
        <w:t xml:space="preserve">(</w:t>
      </w:r>
      <w:r>
        <w:rPr>
          <w:sz w:val="20"/>
          <w:szCs w:val="20"/>
          <w:u w:val="single"/>
        </w:rPr>
        <w:t xml:space="preserve">CodeGD</w:t>
      </w:r>
      <w:r>
        <w:rPr>
          <w:sz w:val="20"/>
          <w:szCs w:val="20"/>
        </w:rPr>
        <w:t xml:space="preserve">, </w:t>
      </w:r>
      <w:r>
        <w:rPr>
          <w:sz w:val="20"/>
          <w:szCs w:val="20"/>
        </w:rPr>
        <w:t xml:space="preserve">LibelleGD</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DOMAINE_PRO</w:t>
      </w:r>
      <w:r>
        <w:rPr>
          <w:sz w:val="20"/>
          <w:szCs w:val="20"/>
        </w:rPr>
        <w:t xml:space="preserve">(</w:t>
      </w:r>
      <w:r>
        <w:rPr>
          <w:sz w:val="20"/>
          <w:szCs w:val="20"/>
          <w:u w:val="single"/>
        </w:rPr>
        <w:t xml:space="preserve">CodeDP</w:t>
      </w:r>
      <w:r>
        <w:rPr>
          <w:sz w:val="20"/>
          <w:szCs w:val="20"/>
        </w:rPr>
        <w:t xml:space="preserve">, </w:t>
      </w:r>
      <w:r>
        <w:rPr>
          <w:sz w:val="20"/>
          <w:szCs w:val="20"/>
        </w:rPr>
        <w:t xml:space="preserve">LibelleDP</w:t>
      </w:r>
      <w:r>
        <w:rPr>
          <w:sz w:val="20"/>
          <w:szCs w:val="20"/>
        </w:rPr>
        <w:t xml:space="preserve">, </w:t>
      </w:r>
      <w:r>
        <w:rPr>
          <w:sz w:val="20"/>
          <w:szCs w:val="20"/>
        </w:rPr>
        <w:t xml:space="preserve">CodeGD#</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FICHE_METIER</w:t>
      </w:r>
      <w:r>
        <w:rPr>
          <w:sz w:val="20"/>
          <w:szCs w:val="20"/>
        </w:rPr>
        <w:t xml:space="preserve">(</w:t>
      </w:r>
      <w:r>
        <w:rPr>
          <w:sz w:val="20"/>
          <w:szCs w:val="20"/>
          <w:u w:val="single"/>
        </w:rPr>
        <w:t xml:space="preserve">CodeROME</w:t>
      </w:r>
      <w:r>
        <w:rPr>
          <w:sz w:val="20"/>
          <w:szCs w:val="20"/>
        </w:rPr>
        <w:t xml:space="preserve">, </w:t>
      </w:r>
      <w:r>
        <w:rPr>
          <w:sz w:val="20"/>
          <w:szCs w:val="20"/>
        </w:rPr>
        <w:t xml:space="preserve">LibelleMetier</w:t>
      </w:r>
      <w:r>
        <w:rPr>
          <w:sz w:val="20"/>
          <w:szCs w:val="20"/>
        </w:rPr>
        <w:t xml:space="preserve">, </w:t>
      </w:r>
      <w:r>
        <w:rPr>
          <w:sz w:val="20"/>
          <w:szCs w:val="20"/>
        </w:rPr>
        <w:t xml:space="preserve">CodeDP#</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APPELLATION</w:t>
      </w:r>
      <w:r>
        <w:rPr>
          <w:sz w:val="20"/>
          <w:szCs w:val="20"/>
        </w:rPr>
        <w:t xml:space="preserve">(</w:t>
      </w:r>
      <w:r>
        <w:rPr>
          <w:sz w:val="20"/>
          <w:szCs w:val="20"/>
          <w:u w:val="single"/>
        </w:rPr>
        <w:t xml:space="preserve">CodeAPP</w:t>
      </w:r>
      <w:r>
        <w:rPr>
          <w:sz w:val="20"/>
          <w:szCs w:val="20"/>
        </w:rPr>
        <w:t xml:space="preserve">, </w:t>
      </w:r>
      <w:r>
        <w:rPr>
          <w:sz w:val="20"/>
          <w:szCs w:val="20"/>
        </w:rPr>
        <w:t xml:space="preserve">LibelleAPP</w:t>
      </w:r>
      <w:r>
        <w:rPr>
          <w:sz w:val="20"/>
          <w:szCs w:val="20"/>
        </w:rPr>
        <w:t xml:space="preserve">, </w:t>
      </w:r>
      <w:r>
        <w:rPr>
          <w:sz w:val="20"/>
          <w:szCs w:val="20"/>
        </w:rPr>
        <w:t xml:space="preserve">CodeROME#</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EXERCER</w:t>
      </w:r>
      <w:r>
        <w:rPr>
          <w:sz w:val="20"/>
          <w:szCs w:val="20"/>
        </w:rPr>
        <w:t xml:space="preserve">(</w:t>
      </w:r>
      <w:r>
        <w:rPr>
          <w:sz w:val="20"/>
          <w:szCs w:val="20"/>
          <w:u w:val="single"/>
        </w:rPr>
        <w:t xml:space="preserve">CodeE#</w:t>
      </w:r>
      <w:r>
        <w:rPr>
          <w:sz w:val="20"/>
          <w:szCs w:val="20"/>
        </w:rPr>
        <w:t xml:space="preserve">, </w:t>
      </w:r>
      <w:r>
        <w:rPr>
          <w:sz w:val="20"/>
          <w:szCs w:val="20"/>
          <w:u w:val="single"/>
        </w:rPr>
        <w:t xml:space="preserve">DateDebutMetier</w:t>
      </w:r>
      <w:r>
        <w:rPr>
          <w:sz w:val="20"/>
          <w:szCs w:val="20"/>
        </w:rPr>
        <w:t xml:space="preserve">, </w:t>
      </w:r>
      <w:r>
        <w:rPr>
          <w:sz w:val="20"/>
          <w:szCs w:val="20"/>
        </w:rPr>
        <w:t xml:space="preserve">CodeAPP#</w:t>
      </w:r>
      <w:r>
        <w:rPr>
          <w:sz w:val="20"/>
          <w:szCs w:val="20"/>
        </w:rPr>
        <w:t xml:space="preserve">, </w:t>
      </w:r>
      <w:r>
        <w:rPr>
          <w:sz w:val="20"/>
          <w:szCs w:val="20"/>
        </w:rPr>
        <w:t xml:space="preserve">DateFinMetier</w:t>
      </w:r>
      <w:r>
        <w:rPr>
          <w:sz w:val="20"/>
          <w:szCs w:val="20"/>
        </w:rPr>
        <w:t xml:space="preserve">, </w:t>
      </w:r>
      <w:r>
        <w:rPr>
          <w:sz w:val="20"/>
          <w:szCs w:val="20"/>
        </w:rPr>
        <w:t xml:space="preserve">TypeContrat</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FABRICANT</w:t>
      </w:r>
      <w:r>
        <w:rPr>
          <w:sz w:val="20"/>
          <w:szCs w:val="20"/>
        </w:rPr>
        <w:t xml:space="preserve">(</w:t>
      </w:r>
      <w:r>
        <w:rPr>
          <w:sz w:val="20"/>
          <w:szCs w:val="20"/>
          <w:u w:val="single"/>
        </w:rPr>
        <w:t xml:space="preserve">CodeFAB</w:t>
      </w:r>
      <w:r>
        <w:rPr>
          <w:sz w:val="20"/>
          <w:szCs w:val="20"/>
        </w:rPr>
        <w:t xml:space="preserve">, </w:t>
      </w:r>
      <w:r>
        <w:rPr>
          <w:sz w:val="20"/>
          <w:szCs w:val="20"/>
        </w:rPr>
        <w:t xml:space="preserve">NomFAB</w:t>
      </w:r>
      <w:r>
        <w:rPr>
          <w:sz w:val="20"/>
          <w:szCs w:val="20"/>
        </w:rPr>
        <w:t xml:space="preserve">, </w:t>
      </w:r>
      <w:r>
        <w:rPr>
          <w:sz w:val="20"/>
          <w:szCs w:val="20"/>
        </w:rPr>
        <w:t xml:space="preserve">PaysFAB</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GENERATION</w:t>
      </w:r>
      <w:r>
        <w:rPr>
          <w:sz w:val="20"/>
          <w:szCs w:val="20"/>
        </w:rPr>
        <w:t xml:space="preserve">(</w:t>
      </w:r>
      <w:r>
        <w:rPr>
          <w:sz w:val="20"/>
          <w:szCs w:val="20"/>
          <w:u w:val="single"/>
        </w:rPr>
        <w:t xml:space="preserve">CodeGEN</w:t>
      </w:r>
      <w:r>
        <w:rPr>
          <w:sz w:val="20"/>
          <w:szCs w:val="20"/>
        </w:rPr>
        <w:t xml:space="preserve">, </w:t>
      </w:r>
      <w:r>
        <w:rPr>
          <w:sz w:val="20"/>
          <w:szCs w:val="20"/>
        </w:rPr>
        <w:t xml:space="preserve">NomGEN</w:t>
      </w:r>
      <w:r>
        <w:rPr>
          <w:sz w:val="20"/>
          <w:szCs w:val="20"/>
        </w:rPr>
        <w:t xml:space="preserve">, </w:t>
      </w:r>
      <w:r>
        <w:rPr>
          <w:sz w:val="20"/>
          <w:szCs w:val="20"/>
        </w:rPr>
        <w:t xml:space="preserve">DateSortieGEN</w:t>
      </w:r>
      <w:r>
        <w:rPr>
          <w:sz w:val="20"/>
          <w:szCs w:val="20"/>
        </w:rPr>
        <w:t xml:space="preserve">, </w:t>
      </w:r>
      <w:r>
        <w:rPr>
          <w:sz w:val="20"/>
          <w:szCs w:val="20"/>
        </w:rPr>
        <w:t xml:space="preserve">DateArretGEN</w:t>
      </w:r>
      <w:r>
        <w:rPr>
          <w:sz w:val="20"/>
          <w:szCs w:val="20"/>
        </w:rPr>
        <w:t xml:space="preserve">, </w:t>
      </w:r>
      <w:r>
        <w:rPr>
          <w:sz w:val="20"/>
          <w:szCs w:val="20"/>
        </w:rPr>
        <w:t xml:space="preserve">CodeFAB#</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1F4E79"/>
          <w:sz w:val="20"/>
          <w:szCs w:val="20"/>
        </w:rPr>
        <w:t xml:space="preserve">GAMME</w:t>
      </w:r>
      <w:r>
        <w:rPr>
          <w:sz w:val="20"/>
          <w:szCs w:val="20"/>
        </w:rPr>
        <w:t xml:space="preserve">(</w:t>
      </w:r>
      <w:r>
        <w:rPr>
          <w:sz w:val="20"/>
          <w:szCs w:val="20"/>
          <w:u w:val="single"/>
        </w:rPr>
        <w:t xml:space="preserve">CodeG</w:t>
      </w:r>
      <w:r>
        <w:rPr>
          <w:sz w:val="20"/>
          <w:szCs w:val="20"/>
        </w:rPr>
        <w:t xml:space="preserve">, </w:t>
      </w:r>
      <w:r>
        <w:rPr>
          <w:sz w:val="20"/>
          <w:szCs w:val="20"/>
        </w:rPr>
        <w:t xml:space="preserve">NomG</w:t>
      </w:r>
      <w:r>
        <w:rPr>
          <w:sz w:val="20"/>
          <w:szCs w:val="20"/>
        </w:rPr>
        <w:t xml:space="preserve">, </w:t>
      </w:r>
      <w:r>
        <w:rPr>
          <w:sz w:val="20"/>
          <w:szCs w:val="20"/>
        </w:rPr>
        <w:t xml:space="preserve">SecteurG</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C55A11"/>
          <w:sz w:val="20"/>
          <w:szCs w:val="20"/>
        </w:rPr>
        <w:t xml:space="preserve">PRODUIT</w:t>
      </w:r>
      <w:r>
        <w:rPr>
          <w:sz w:val="20"/>
          <w:szCs w:val="20"/>
        </w:rPr>
        <w:t xml:space="preserve">(</w:t>
      </w:r>
      <w:r>
        <w:rPr>
          <w:sz w:val="20"/>
          <w:szCs w:val="20"/>
          <w:u w:val="single"/>
        </w:rPr>
        <w:t xml:space="preserve">CodeP</w:t>
      </w:r>
      <w:r>
        <w:rPr>
          <w:sz w:val="20"/>
          <w:szCs w:val="20"/>
        </w:rPr>
        <w:t xml:space="preserve">, </w:t>
      </w:r>
      <w:r>
        <w:rPr>
          <w:sz w:val="20"/>
          <w:szCs w:val="20"/>
        </w:rPr>
        <w:t xml:space="preserve">NomP</w:t>
      </w:r>
      <w:r>
        <w:rPr>
          <w:sz w:val="20"/>
          <w:szCs w:val="20"/>
        </w:rPr>
        <w:t xml:space="preserve">, </w:t>
      </w:r>
      <w:r>
        <w:rPr>
          <w:sz w:val="20"/>
          <w:szCs w:val="20"/>
        </w:rPr>
        <w:t xml:space="preserve">MarqueP</w:t>
      </w:r>
      <w:r>
        <w:rPr>
          <w:sz w:val="20"/>
          <w:szCs w:val="20"/>
        </w:rPr>
        <w:t xml:space="preserve">, </w:t>
      </w:r>
      <w:r>
        <w:rPr>
          <w:sz w:val="20"/>
          <w:szCs w:val="20"/>
        </w:rPr>
        <w:t xml:space="preserve">DescriptifP</w:t>
      </w:r>
      <w:r>
        <w:rPr>
          <w:sz w:val="20"/>
          <w:szCs w:val="20"/>
        </w:rPr>
        <w:t xml:space="preserve">, </w:t>
      </w:r>
      <w:r>
        <w:rPr>
          <w:sz w:val="20"/>
          <w:szCs w:val="20"/>
        </w:rPr>
        <w:t xml:space="preserve">PoidsKg</w:t>
      </w:r>
      <w:r>
        <w:rPr>
          <w:sz w:val="20"/>
          <w:szCs w:val="20"/>
        </w:rPr>
        <w:t xml:space="preserve">, </w:t>
      </w:r>
      <w:r>
        <w:rPr>
          <w:sz w:val="20"/>
          <w:szCs w:val="20"/>
        </w:rPr>
        <w:t xml:space="preserve">AutonomieKm</w:t>
      </w:r>
      <w:r>
        <w:rPr>
          <w:sz w:val="20"/>
          <w:szCs w:val="20"/>
        </w:rPr>
        <w:t xml:space="preserve">, </w:t>
      </w:r>
      <w:r>
        <w:rPr>
          <w:sz w:val="20"/>
          <w:szCs w:val="20"/>
        </w:rPr>
        <w:t xml:space="preserve">CodeG#</w:t>
      </w:r>
      <w:r>
        <w:rPr>
          <w:sz w:val="20"/>
          <w:szCs w:val="20"/>
        </w:rPr>
        <w:t xml:space="preserve">, </w:t>
      </w:r>
      <w:r>
        <w:rPr>
          <w:sz w:val="20"/>
          <w:szCs w:val="20"/>
        </w:rPr>
        <w:t xml:space="preserve">CodeGEN#</w:t>
      </w:r>
      <w:r>
        <w:rPr>
          <w:sz w:val="20"/>
          <w:szCs w:val="20"/>
        </w:rPr>
        <w:t xml:space="preserve">)</w:t>
      </w:r>
      <w:r>
        <w:rPr>
          <w:i/>
          <w:iCs/>
          <w:color w:val="808080"/>
          <w:sz w:val="16"/>
          <w:szCs w:val="16"/>
        </w:rPr>
        <w:t xml:space="preserve">   [V1 modifiée]</w:t>
      </w:r>
    </w:p>
    <w:p>
      <w:pPr>
        <w:pStyle w:val="ListParagraph"/>
        <w:numPr>
          <w:ilvl w:val="0"/>
          <w:numId w:val="2"/>
        </w:numPr>
        <w:spacing w:after="40"/>
      </w:pPr>
      <w:r>
        <w:rPr>
          <w:b/>
          <w:bCs/>
          <w:color w:val="2E7D32"/>
          <w:sz w:val="20"/>
          <w:szCs w:val="20"/>
        </w:rPr>
        <w:t xml:space="preserve">TARIF</w:t>
      </w:r>
      <w:r>
        <w:rPr>
          <w:sz w:val="20"/>
          <w:szCs w:val="20"/>
        </w:rPr>
        <w:t xml:space="preserve">(</w:t>
      </w:r>
      <w:r>
        <w:rPr>
          <w:sz w:val="20"/>
          <w:szCs w:val="20"/>
          <w:u w:val="single"/>
        </w:rPr>
        <w:t xml:space="preserve">CodeP#</w:t>
      </w:r>
      <w:r>
        <w:rPr>
          <w:sz w:val="20"/>
          <w:szCs w:val="20"/>
        </w:rPr>
        <w:t xml:space="preserve">, </w:t>
      </w:r>
      <w:r>
        <w:rPr>
          <w:sz w:val="20"/>
          <w:szCs w:val="20"/>
          <w:u w:val="single"/>
        </w:rPr>
        <w:t xml:space="preserve">CodePays#</w:t>
      </w:r>
      <w:r>
        <w:rPr>
          <w:sz w:val="20"/>
          <w:szCs w:val="20"/>
        </w:rPr>
        <w:t xml:space="preserve">, </w:t>
      </w:r>
      <w:r>
        <w:rPr>
          <w:sz w:val="20"/>
          <w:szCs w:val="20"/>
          <w:u w:val="single"/>
        </w:rPr>
        <w:t xml:space="preserve">DateDebutTarif</w:t>
      </w:r>
      <w:r>
        <w:rPr>
          <w:sz w:val="20"/>
          <w:szCs w:val="20"/>
        </w:rPr>
        <w:t xml:space="preserve">, </w:t>
      </w:r>
      <w:r>
        <w:rPr>
          <w:sz w:val="20"/>
          <w:szCs w:val="20"/>
        </w:rPr>
        <w:t xml:space="preserve">DateFinTarif</w:t>
      </w:r>
      <w:r>
        <w:rPr>
          <w:sz w:val="20"/>
          <w:szCs w:val="20"/>
        </w:rPr>
        <w:t xml:space="preserve">, </w:t>
      </w:r>
      <w:r>
        <w:rPr>
          <w:sz w:val="20"/>
          <w:szCs w:val="20"/>
        </w:rPr>
        <w:t xml:space="preserve">Prix_loc_jour</w:t>
      </w:r>
      <w:r>
        <w:rPr>
          <w:sz w:val="20"/>
          <w:szCs w:val="20"/>
        </w:rPr>
        <w:t xml:space="preserve">, </w:t>
      </w:r>
      <w:r>
        <w:rPr>
          <w:sz w:val="20"/>
          <w:szCs w:val="20"/>
        </w:rPr>
        <w:t xml:space="preserve">Prix_vente</w:t>
      </w:r>
      <w:r>
        <w:rPr>
          <w:sz w:val="20"/>
          <w:szCs w:val="20"/>
        </w:rPr>
        <w:t xml:space="preserve">, </w:t>
      </w:r>
      <w:r>
        <w:rPr>
          <w:sz w:val="20"/>
          <w:szCs w:val="20"/>
        </w:rPr>
        <w:t xml:space="preserve">ModePrix</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2E7D32"/>
          <w:sz w:val="20"/>
          <w:szCs w:val="20"/>
        </w:rPr>
        <w:t xml:space="preserve">AGENCE</w:t>
      </w:r>
      <w:r>
        <w:rPr>
          <w:sz w:val="20"/>
          <w:szCs w:val="20"/>
        </w:rPr>
        <w:t xml:space="preserve">(</w:t>
      </w:r>
      <w:r>
        <w:rPr>
          <w:sz w:val="20"/>
          <w:szCs w:val="20"/>
          <w:u w:val="single"/>
        </w:rPr>
        <w:t xml:space="preserve">CodeAG</w:t>
      </w:r>
      <w:r>
        <w:rPr>
          <w:sz w:val="20"/>
          <w:szCs w:val="20"/>
        </w:rPr>
        <w:t xml:space="preserve">, </w:t>
      </w:r>
      <w:r>
        <w:rPr>
          <w:sz w:val="20"/>
          <w:szCs w:val="20"/>
        </w:rPr>
        <w:t xml:space="preserve">NomAG</w:t>
      </w:r>
      <w:r>
        <w:rPr>
          <w:sz w:val="20"/>
          <w:szCs w:val="20"/>
        </w:rPr>
        <w:t xml:space="preserve">, </w:t>
      </w:r>
      <w:r>
        <w:rPr>
          <w:sz w:val="20"/>
          <w:szCs w:val="20"/>
        </w:rPr>
        <w:t xml:space="preserve">VilleAG</w:t>
      </w:r>
      <w:r>
        <w:rPr>
          <w:sz w:val="20"/>
          <w:szCs w:val="20"/>
        </w:rPr>
        <w:t xml:space="preserve">, </w:t>
      </w:r>
      <w:r>
        <w:rPr>
          <w:sz w:val="20"/>
          <w:szCs w:val="20"/>
        </w:rPr>
        <w:t xml:space="preserve">CodePays#</w:t>
      </w:r>
      <w:r>
        <w:rPr>
          <w:sz w:val="20"/>
          <w:szCs w:val="20"/>
        </w:rPr>
        <w:t xml:space="preserve">)</w:t>
      </w:r>
      <w:r>
        <w:rPr>
          <w:i/>
          <w:iCs/>
          <w:color w:val="808080"/>
          <w:sz w:val="16"/>
          <w:szCs w:val="16"/>
        </w:rPr>
        <w:t xml:space="preserve">   [nouvelle]</w:t>
      </w:r>
    </w:p>
    <w:p>
      <w:pPr>
        <w:pStyle w:val="ListParagraph"/>
        <w:numPr>
          <w:ilvl w:val="0"/>
          <w:numId w:val="2"/>
        </w:numPr>
        <w:spacing w:after="40"/>
      </w:pPr>
      <w:r>
        <w:rPr>
          <w:b/>
          <w:bCs/>
          <w:color w:val="C55A11"/>
          <w:sz w:val="20"/>
          <w:szCs w:val="20"/>
        </w:rPr>
        <w:t xml:space="preserve">EXEMPLAIRE</w:t>
      </w:r>
      <w:r>
        <w:rPr>
          <w:sz w:val="20"/>
          <w:szCs w:val="20"/>
        </w:rPr>
        <w:t xml:space="preserve">(</w:t>
      </w:r>
      <w:r>
        <w:rPr>
          <w:sz w:val="20"/>
          <w:szCs w:val="20"/>
          <w:u w:val="single"/>
        </w:rPr>
        <w:t xml:space="preserve">CodeEX</w:t>
      </w:r>
      <w:r>
        <w:rPr>
          <w:sz w:val="20"/>
          <w:szCs w:val="20"/>
        </w:rPr>
        <w:t xml:space="preserve">, </w:t>
      </w:r>
      <w:r>
        <w:rPr>
          <w:sz w:val="20"/>
          <w:szCs w:val="20"/>
        </w:rPr>
        <w:t xml:space="preserve">NumSerieEX</w:t>
      </w:r>
      <w:r>
        <w:rPr>
          <w:sz w:val="20"/>
          <w:szCs w:val="20"/>
        </w:rPr>
        <w:t xml:space="preserve">, </w:t>
      </w:r>
      <w:r>
        <w:rPr>
          <w:sz w:val="20"/>
          <w:szCs w:val="20"/>
        </w:rPr>
        <w:t xml:space="preserve">DateMiseServiceEX</w:t>
      </w:r>
      <w:r>
        <w:rPr>
          <w:sz w:val="20"/>
          <w:szCs w:val="20"/>
        </w:rPr>
        <w:t xml:space="preserve">, </w:t>
      </w:r>
      <w:r>
        <w:rPr>
          <w:sz w:val="20"/>
          <w:szCs w:val="20"/>
        </w:rPr>
        <w:t xml:space="preserve">DateReformeEX</w:t>
      </w:r>
      <w:r>
        <w:rPr>
          <w:sz w:val="20"/>
          <w:szCs w:val="20"/>
        </w:rPr>
        <w:t xml:space="preserve">, </w:t>
      </w:r>
      <w:r>
        <w:rPr>
          <w:sz w:val="20"/>
          <w:szCs w:val="20"/>
        </w:rPr>
        <w:t xml:space="preserve">CodeP#</w:t>
      </w:r>
      <w:r>
        <w:rPr>
          <w:sz w:val="20"/>
          <w:szCs w:val="20"/>
        </w:rPr>
        <w:t xml:space="preserve">, </w:t>
      </w:r>
      <w:r>
        <w:rPr>
          <w:sz w:val="20"/>
          <w:szCs w:val="20"/>
        </w:rPr>
        <w:t xml:space="preserve">CodeAG#</w:t>
      </w:r>
      <w:r>
        <w:rPr>
          <w:sz w:val="20"/>
          <w:szCs w:val="20"/>
        </w:rPr>
        <w:t xml:space="preserve">)</w:t>
      </w:r>
      <w:r>
        <w:rPr>
          <w:i/>
          <w:iCs/>
          <w:color w:val="808080"/>
          <w:sz w:val="16"/>
          <w:szCs w:val="16"/>
        </w:rPr>
        <w:t xml:space="preserve">   [V1 modifiée]</w:t>
      </w:r>
    </w:p>
    <w:p>
      <w:pPr>
        <w:pStyle w:val="ListParagraph"/>
        <w:numPr>
          <w:ilvl w:val="0"/>
          <w:numId w:val="2"/>
        </w:numPr>
        <w:spacing w:after="40"/>
      </w:pPr>
      <w:r>
        <w:rPr>
          <w:b/>
          <w:bCs/>
          <w:color w:val="1F4E79"/>
          <w:sz w:val="20"/>
          <w:szCs w:val="20"/>
        </w:rPr>
        <w:t xml:space="preserve">REDUCTION</w:t>
      </w:r>
      <w:r>
        <w:rPr>
          <w:sz w:val="20"/>
          <w:szCs w:val="20"/>
        </w:rPr>
        <w:t xml:space="preserve">(</w:t>
      </w:r>
      <w:r>
        <w:rPr>
          <w:sz w:val="20"/>
          <w:szCs w:val="20"/>
          <w:u w:val="single"/>
        </w:rPr>
        <w:t xml:space="preserve">CodeG#</w:t>
      </w:r>
      <w:r>
        <w:rPr>
          <w:sz w:val="20"/>
          <w:szCs w:val="20"/>
        </w:rPr>
        <w:t xml:space="preserve">, </w:t>
      </w:r>
      <w:r>
        <w:rPr>
          <w:sz w:val="20"/>
          <w:szCs w:val="20"/>
          <w:u w:val="single"/>
        </w:rPr>
        <w:t xml:space="preserve">CodeCAT#</w:t>
      </w:r>
      <w:r>
        <w:rPr>
          <w:sz w:val="20"/>
          <w:szCs w:val="20"/>
        </w:rPr>
        <w:t xml:space="preserve">, </w:t>
      </w:r>
      <w:r>
        <w:rPr>
          <w:sz w:val="20"/>
          <w:szCs w:val="20"/>
          <w:u w:val="single"/>
        </w:rPr>
        <w:t xml:space="preserve">Annee</w:t>
      </w:r>
      <w:r>
        <w:rPr>
          <w:sz w:val="20"/>
          <w:szCs w:val="20"/>
        </w:rPr>
        <w:t xml:space="preserve">, </w:t>
      </w:r>
      <w:r>
        <w:rPr>
          <w:sz w:val="20"/>
          <w:szCs w:val="20"/>
        </w:rPr>
        <w:t xml:space="preserve">PctReduc_Loc</w:t>
      </w:r>
      <w:r>
        <w:rPr>
          <w:sz w:val="20"/>
          <w:szCs w:val="20"/>
        </w:rPr>
        <w:t xml:space="preserve">, </w:t>
      </w:r>
      <w:r>
        <w:rPr>
          <w:sz w:val="20"/>
          <w:szCs w:val="20"/>
        </w:rPr>
        <w:t xml:space="preserve">PctReduc_Achat</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1F4E79"/>
          <w:sz w:val="20"/>
          <w:szCs w:val="20"/>
        </w:rPr>
        <w:t xml:space="preserve">ACHAT</w:t>
      </w:r>
      <w:r>
        <w:rPr>
          <w:sz w:val="20"/>
          <w:szCs w:val="20"/>
        </w:rPr>
        <w:t xml:space="preserve">(</w:t>
      </w:r>
      <w:r>
        <w:rPr>
          <w:sz w:val="20"/>
          <w:szCs w:val="20"/>
          <w:u w:val="single"/>
        </w:rPr>
        <w:t xml:space="preserve">CodeP#</w:t>
      </w:r>
      <w:r>
        <w:rPr>
          <w:sz w:val="20"/>
          <w:szCs w:val="20"/>
        </w:rPr>
        <w:t xml:space="preserve">, </w:t>
      </w:r>
      <w:r>
        <w:rPr>
          <w:sz w:val="20"/>
          <w:szCs w:val="20"/>
          <w:u w:val="single"/>
        </w:rPr>
        <w:t xml:space="preserve">CodeE#</w:t>
      </w:r>
      <w:r>
        <w:rPr>
          <w:sz w:val="20"/>
          <w:szCs w:val="20"/>
        </w:rPr>
        <w:t xml:space="preserve">, </w:t>
      </w:r>
      <w:r>
        <w:rPr>
          <w:sz w:val="20"/>
          <w:szCs w:val="20"/>
          <w:u w:val="single"/>
        </w:rPr>
        <w:t xml:space="preserve">DateA</w:t>
      </w:r>
      <w:r>
        <w:rPr>
          <w:sz w:val="20"/>
          <w:szCs w:val="20"/>
        </w:rPr>
        <w:t xml:space="preserve">, </w:t>
      </w:r>
      <w:r>
        <w:rPr>
          <w:sz w:val="20"/>
          <w:szCs w:val="20"/>
        </w:rPr>
        <w:t xml:space="preserve">Qte</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1F4E79"/>
          <w:sz w:val="20"/>
          <w:szCs w:val="20"/>
        </w:rPr>
        <w:t xml:space="preserve">RESERVER</w:t>
      </w:r>
      <w:r>
        <w:rPr>
          <w:sz w:val="20"/>
          <w:szCs w:val="20"/>
        </w:rPr>
        <w:t xml:space="preserve">(</w:t>
      </w:r>
      <w:r>
        <w:rPr>
          <w:sz w:val="20"/>
          <w:szCs w:val="20"/>
          <w:u w:val="single"/>
        </w:rPr>
        <w:t xml:space="preserve">CodeP#</w:t>
      </w:r>
      <w:r>
        <w:rPr>
          <w:sz w:val="20"/>
          <w:szCs w:val="20"/>
        </w:rPr>
        <w:t xml:space="preserve">, </w:t>
      </w:r>
      <w:r>
        <w:rPr>
          <w:sz w:val="20"/>
          <w:szCs w:val="20"/>
          <w:u w:val="single"/>
        </w:rPr>
        <w:t xml:space="preserve">CodeE#</w:t>
      </w:r>
      <w:r>
        <w:rPr>
          <w:sz w:val="20"/>
          <w:szCs w:val="20"/>
        </w:rPr>
        <w:t xml:space="preserve">, </w:t>
      </w:r>
      <w:r>
        <w:rPr>
          <w:sz w:val="20"/>
          <w:szCs w:val="20"/>
          <w:u w:val="single"/>
        </w:rPr>
        <w:t xml:space="preserve">DateLPrev</w:t>
      </w:r>
      <w:r>
        <w:rPr>
          <w:sz w:val="20"/>
          <w:szCs w:val="20"/>
        </w:rPr>
        <w:t xml:space="preserve">, </w:t>
      </w:r>
      <w:r>
        <w:rPr>
          <w:sz w:val="20"/>
          <w:szCs w:val="20"/>
        </w:rPr>
        <w:t xml:space="preserve">Nb_Ex_Prev</w:t>
      </w:r>
      <w:r>
        <w:rPr>
          <w:sz w:val="20"/>
          <w:szCs w:val="20"/>
        </w:rPr>
        <w:t xml:space="preserve">, </w:t>
      </w:r>
      <w:r>
        <w:rPr>
          <w:sz w:val="20"/>
          <w:szCs w:val="20"/>
        </w:rPr>
        <w:t xml:space="preserve">DateResa</w:t>
      </w:r>
      <w:r>
        <w:rPr>
          <w:sz w:val="20"/>
          <w:szCs w:val="20"/>
        </w:rPr>
        <w:t xml:space="preserve">, </w:t>
      </w:r>
      <w:r>
        <w:rPr>
          <w:sz w:val="20"/>
          <w:szCs w:val="20"/>
        </w:rPr>
        <w:t xml:space="preserve">Duree_Prev</w:t>
      </w:r>
      <w:r>
        <w:rPr>
          <w:sz w:val="20"/>
          <w:szCs w:val="20"/>
        </w:rPr>
        <w:t xml:space="preserve">)</w:t>
      </w:r>
      <w:r>
        <w:rPr>
          <w:i/>
          <w:iCs/>
          <w:color w:val="808080"/>
          <w:sz w:val="16"/>
          <w:szCs w:val="16"/>
        </w:rPr>
        <w:t xml:space="preserve">   [V1]</w:t>
      </w:r>
    </w:p>
    <w:p>
      <w:pPr>
        <w:pStyle w:val="ListParagraph"/>
        <w:numPr>
          <w:ilvl w:val="0"/>
          <w:numId w:val="2"/>
        </w:numPr>
        <w:spacing w:after="40"/>
      </w:pPr>
      <w:r>
        <w:rPr>
          <w:b/>
          <w:bCs/>
          <w:color w:val="1F4E79"/>
          <w:sz w:val="20"/>
          <w:szCs w:val="20"/>
        </w:rPr>
        <w:t xml:space="preserve">LOUER</w:t>
      </w:r>
      <w:r>
        <w:rPr>
          <w:sz w:val="20"/>
          <w:szCs w:val="20"/>
        </w:rPr>
        <w:t xml:space="preserve">(</w:t>
      </w:r>
      <w:r>
        <w:rPr>
          <w:sz w:val="20"/>
          <w:szCs w:val="20"/>
          <w:u w:val="single"/>
        </w:rPr>
        <w:t xml:space="preserve">CodeEX#</w:t>
      </w:r>
      <w:r>
        <w:rPr>
          <w:sz w:val="20"/>
          <w:szCs w:val="20"/>
        </w:rPr>
        <w:t xml:space="preserve">, </w:t>
      </w:r>
      <w:r>
        <w:rPr>
          <w:sz w:val="20"/>
          <w:szCs w:val="20"/>
          <w:u w:val="single"/>
        </w:rPr>
        <w:t xml:space="preserve">CodeE#</w:t>
      </w:r>
      <w:r>
        <w:rPr>
          <w:sz w:val="20"/>
          <w:szCs w:val="20"/>
        </w:rPr>
        <w:t xml:space="preserve">, </w:t>
      </w:r>
      <w:r>
        <w:rPr>
          <w:sz w:val="20"/>
          <w:szCs w:val="20"/>
          <w:u w:val="single"/>
        </w:rPr>
        <w:t xml:space="preserve">DateL</w:t>
      </w:r>
      <w:r>
        <w:rPr>
          <w:sz w:val="20"/>
          <w:szCs w:val="20"/>
        </w:rPr>
        <w:t xml:space="preserve">, </w:t>
      </w:r>
      <w:r>
        <w:rPr>
          <w:sz w:val="20"/>
          <w:szCs w:val="20"/>
        </w:rPr>
        <w:t xml:space="preserve">Duree_Loc</w:t>
      </w:r>
      <w:r>
        <w:rPr>
          <w:sz w:val="20"/>
          <w:szCs w:val="20"/>
        </w:rPr>
        <w:t xml:space="preserve">)</w:t>
      </w:r>
      <w:r>
        <w:rPr>
          <w:i/>
          <w:iCs/>
          <w:color w:val="808080"/>
          <w:sz w:val="16"/>
          <w:szCs w:val="16"/>
        </w:rPr>
        <w:t xml:space="preserve">   [V1]</w:t>
      </w:r>
    </w:p>
    <w:p>
      <w:pPr>
        <w:spacing w:after="40"/>
      </w:pPr>
      <w:r>
        <w:rPr>
          <w:rFonts w:ascii="Calibri" w:cs="Calibri" w:eastAsia="Calibri" w:hAnsi="Calibri"/>
          <w:b/>
          <w:bCs/>
          <w:sz w:val="20"/>
          <w:szCs w:val="20"/>
        </w:rPr>
        <w:t xml:space="preserve">Règles de passage appliquées :</w:t>
      </w:r>
    </w:p>
    <w:p>
      <w:pPr>
        <w:pStyle w:val="ListParagraph"/>
        <w:numPr>
          <w:ilvl w:val="0"/>
          <w:numId w:val="2"/>
        </w:numPr>
        <w:spacing w:after="60"/>
      </w:pPr>
      <w:r>
        <w:rPr>
          <w:sz w:val="20"/>
          <w:szCs w:val="20"/>
        </w:rPr>
        <w:t xml:space="preserve">Chaque entité devient une table ; chaque association 1,1 devient une clé étrangère du côté 1,1 (ex. CodeGEN# dans PRODUIT).</w:t>
      </w:r>
    </w:p>
    <w:p>
      <w:pPr>
        <w:pStyle w:val="ListParagraph"/>
        <w:numPr>
          <w:ilvl w:val="0"/>
          <w:numId w:val="2"/>
        </w:numPr>
        <w:spacing w:after="60"/>
      </w:pPr>
      <w:r>
        <w:rPr>
          <w:sz w:val="20"/>
          <w:szCs w:val="20"/>
        </w:rPr>
        <w:t xml:space="preserve">Les associations réflexives (Décomposer, Hiérarchiser, Englober) deviennent une clé étrangère vers la même table (CodeDO_Sup#, CodeCJ_Sup#, CodeZG_Sup#).</w:t>
      </w:r>
    </w:p>
    <w:p>
      <w:pPr>
        <w:pStyle w:val="ListParagraph"/>
        <w:numPr>
          <w:ilvl w:val="0"/>
          <w:numId w:val="2"/>
        </w:numPr>
        <w:spacing w:after="60"/>
      </w:pPr>
      <w:r>
        <w:rPr>
          <w:sz w:val="20"/>
          <w:szCs w:val="20"/>
        </w:rPr>
        <w:t xml:space="preserve">Les associations n-aires porteuses de données deviennent des tables (TARIF, REDUCTION, EXERCER, ACHAT, RESERVER, LOUER). Comme dans la V1, les entités JOUR et ANNEE ne donnent pas de table : la date et l'année sont des attributs.</w:t>
      </w:r>
    </w:p>
    <w:p>
      <w:pPr>
        <w:pStyle w:val="ListParagraph"/>
        <w:numPr>
          <w:ilvl w:val="0"/>
          <w:numId w:val="2"/>
        </w:numPr>
        <w:spacing w:after="60"/>
      </w:pPr>
      <w:r>
        <w:rPr>
          <w:sz w:val="20"/>
          <w:szCs w:val="20"/>
        </w:rPr>
        <w:t xml:space="preserve">EXERCER : un employé n'exerce qu'un métier à une date donnée, la clé est donc réduite à (CodeE, DateDebutMetier) et CodeAPP devient une simple clé étrangère.</w:t>
      </w:r>
    </w:p>
    <w:p>
      <w:pPr>
        <w:pStyle w:val="ListParagraph"/>
        <w:numPr>
          <w:ilvl w:val="0"/>
          <w:numId w:val="2"/>
        </w:numPr>
        <w:spacing w:after="60"/>
      </w:pPr>
      <w:r>
        <w:rPr>
          <w:sz w:val="20"/>
          <w:szCs w:val="20"/>
        </w:rPr>
        <w:t xml:space="preserve">PRODUIT perd Prix_loc_Jour et Prix_vente, historisés dans TARIF par pays et par période. Les colonnes %Reduc_Loc et %Reduc_Achat sont renommées PctReduc_Loc et PctReduc_Achat (le caractère % est interdit dans les noms Oracle).</w:t>
      </w:r>
    </w:p>
    <w:p>
      <w:pPr>
        <w:pStyle w:val="Heading2"/>
      </w:pPr>
      <w:r>
        <w:t xml:space="preserve">Dictionnaire des données de l'ED V2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400"/>
        <w:gridCol w:w="2100"/>
        <w:gridCol w:w="3700"/>
      </w:tblGrid>
      <w:tr>
        <w:trPr>
          <w:tblHeader/>
        </w:trPr>
        <w:tc>
          <w:tcPr>
            <w:tcW w:type="dxa" w:w="23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Nom du champ</w:t>
            </w:r>
          </w:p>
        </w:tc>
        <w:tc>
          <w:tcPr>
            <w:tcW w:type="dxa" w:w="19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Table</w:t>
            </w:r>
          </w:p>
        </w:tc>
        <w:tc>
          <w:tcPr>
            <w:tcW w:type="dxa" w:w="44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Description</w:t>
            </w:r>
          </w:p>
        </w:tc>
        <w:tc>
          <w:tcPr>
            <w:tcW w:type="dxa" w:w="21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Type Oracle</w:t>
            </w:r>
          </w:p>
        </w:tc>
        <w:tc>
          <w:tcPr>
            <w:tcW w:type="dxa" w:w="3700"/>
            <w:tcBorders>
              <w:top w:val="single" w:color="8EA9C1" w:sz="4"/>
              <w:left w:val="single" w:color="8EA9C1" w:sz="4"/>
              <w:bottom w:val="single" w:color="8EA9C1" w:sz="4"/>
              <w:right w:val="single" w:color="8EA9C1" w:sz="4"/>
            </w:tcBorders>
            <w:shd w:fill="1F4E79" w:color="auto" w:val="clear"/>
            <w:tcMar>
              <w:top w:type="dxa" w:w="60"/>
              <w:left w:type="dxa" w:w="90"/>
              <w:bottom w:type="dxa" w:w="60"/>
              <w:right w:type="dxa" w:w="90"/>
            </w:tcMar>
            <w:vAlign w:val="center"/>
          </w:tcPr>
          <w:p>
            <w:pPr>
              <w:spacing w:after="0"/>
              <w:jc w:val="center"/>
            </w:pPr>
            <w:r>
              <w:rPr>
                <w:rFonts w:ascii="Calibri" w:cs="Calibri" w:eastAsia="Calibri" w:hAnsi="Calibri"/>
                <w:b/>
                <w:bCs/>
                <w:color w:val="FFFFFF"/>
                <w:sz w:val="18"/>
                <w:szCs w:val="18"/>
              </w:rPr>
              <w:t xml:space="preserve">Contrainte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CodePays</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PAYS</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 ISO du pays</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CHAR(2)</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{FR, 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NomPays</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PAYS</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Nom du pays</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NOT NULL</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TauxTVA</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PAYS</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Taux normal de TVA du pays</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NUMBER(4,3)</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FR : 0,20 ; DE : 0,19</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CodeZG</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ZONE_GEO</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 unique d'une zone géographique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NomZG</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ZONE_GEO</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Nom de la zone (commune, département, région, Gemeinde, Kreis, district, Land)</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NOT NULL</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NiveauZG</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ZONE_GEO</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Niveau de la zone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VARCHAR2(20)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{COMMUNE, DEPARTEMENT, REGION, GEMEINDE, KREIS, DISTRICT, LAND}</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CodeZG_Sup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ZONE_GEO</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Zone englobante (vide pour le plus haut niveau)</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FK vers ZONE_GEO</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CodeDO / NomDO / CodeDO_Sup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DOMAINE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Domaine d'activité et son super-domaine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CHAR(7) / VARCHAR2(100)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Masque 999-999</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CodeCJ / LibelleCJ</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CATEGORIE_JURIDIQUE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Catégorie juridique INSEE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VARCHAR2(4) / VARCHAR2(150)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NiveauCJ</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CATEGORIE_JURIDIQUE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Niveau dans la nomenclature INSEE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NUMBER(1)</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{1, 2, 3}</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CodeCJ_Sup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CATEGORIE_JURIDIQUE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Catégorie de niveau supérieur</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VARCHAR2(4)</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FK ; vide si NiveauCJ = 1</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CodeSOC</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SOCIETE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 unique d'une société (SIRET pour la France)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VARCHAR2(14)</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NomSOC</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SOCIETE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Nom de la société</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NOT NULL</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TypeSOC</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SOCIETE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Type d'entreprise INSEE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VARCHAR2(30)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{MICRO, PME, ETI, GE} ; vide pour 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CodeSE / NomSE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SERVICE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Service d'une société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CodeSE &gt; 0</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CodeCAT / NomCAT / SuperCAT</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CATEGORIE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Profil et classe de trajet (V1, annexe 2)</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CHAR(5) / VARCHAR2(100)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Masque AA-99</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CodeE / NomE / PrenomE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EMPLOYE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Employé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CodeE &gt; 0</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MatriculeSAL / SIRET</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EMPLOYE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Correspondance avec le portail RH (RG6)</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VARCHAR2(20) / VARCHAR2(14)</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UNIQUE ; vides pour 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DateNaissE / DateEntreeE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EMPLOYE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Dates de naissance et d'entrée dans la société</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DateEntreeE &gt; DateNaissE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CPResidenceE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EMPLOYE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 postal de résidence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CodeGD / LibelleGD</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GRAND_DOMAINE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Grand domaine ROME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CHAR(1) / VARCHAR2(100)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 M</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CodeDP / LibelleDP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DOMAINE_PRO</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Domaine professionnel ROME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CHAR(3) / VARCHAR2(150)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 M18</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CodeROME / LibelleMetier</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FICHE_METIER</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Fiche métier ROME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CHAR(5) / VARCHAR2(150)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 M1805</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CodeAPP / LibelleAPP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APPELLATION</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Appellation ROME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VARCHAR2(6) / VARCHAR2(200)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DateDebutMetier / DateFinMetier</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EXERCER</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Période d'exercice d'un métier par un employé (RG9)</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DateFinMetier &gt; DateDebutMetier ou vide (métier actuel)</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TypeContrat</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EXERCER</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Type de contrat pendant la période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VARCHAR2(20)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{CDI, CDD, ALTERNANCE, STAGE, INTERIM}</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CodeFAB / NomFAB / PaysFAB</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FABRICANT</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Fabricant d'une génération</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CodeGEN / NomGEN</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GENERATION</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Génération d'un produit</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DateSortieGEN / DateArretGEN</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GENERATION</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Dates de sortie et d'arrêt</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DateArretGEN &gt; DateSortieGEN ou vide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CodeG / NomG / SecteurG</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GAMME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Gamme et secteur (V1, annexe 3)</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CHAR(5)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CodeP / NomP / MarqueP</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PRODUIT</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Produit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DescriptifP / PoidsKg / AutonomieKm</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PRODUIT</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Caractéristiques techniques</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VARCHAR2(500) / NUMBER(6,2) / NUMBER(5)</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&gt; 0 ; AutonomieKm vide si non électrique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DateDebutTarif / DateFinTarif</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TARIF</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Période de validité du tarif (RG4)</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DateFinTarif &gt; DateDebutTarif ou vide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Prix_loc_jour / Prix_vente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TARIF</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Prix publics de location par jour et de vente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NUMBER(10,2)</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&gt; 0 ; Prix_vente &gt; Prix_loc_jour</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ModePrix</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TARIF</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Mode d'expression du prix (RG5)</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VARCHAR2(3)</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{HT, TTC}</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CodeAG / NomAG / VilleAG</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AGENCE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Agence de rattachement des exemplaires</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VARCHAR2(10) / VARCHAR2(50)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CodeEX / NumSerieEX</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EXEMPLAIRE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Exemplaire d'un produit</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 / VARCHAR2(30)</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CodeEX &gt; 0 ; NumSerieEX UNIQUE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DateMiseServiceEX / DateReformeEX</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EXEMPLAIRE</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Dates de mise en service et de réforme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DateReformeEX &gt; DateMiseServiceEX ou vide</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Annee / PctReduc_Loc / PctReduc_Achat</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REDUCTION</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Pourcentages de réduction annuels (V1, renommés car % interdit dans Oracle)</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NUMBER(4) / NUMBER(4,3)</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&gt; 0 et &lt;= 1</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DateA / Qte</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ACHAT</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 et quantité d'un achat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 / NUMBER</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DateA &lt;= SYSDATE ; Qte &gt; 0</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DateLPrev / Nb_Ex_Prev / DateResa / Duree_Prev</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RESERVER</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Réservation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 / NUMBER</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DateResa &lt;= DateLPrev ; &gt; 0</w:t>
            </w:r>
          </w:p>
        </w:tc>
      </w:tr>
      <w:tr>
        <w:trPr>
          <w:cantSplit/>
        </w:trPr>
        <w:tc>
          <w:tcPr>
            <w:tcW w:type="dxa" w:w="23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bCs/>
                <w:sz w:val="18"/>
                <w:szCs w:val="18"/>
              </w:rPr>
              <w:t xml:space="preserve">DateL / Duree_Loc</w:t>
            </w:r>
          </w:p>
        </w:tc>
        <w:tc>
          <w:tcPr>
            <w:tcW w:type="dxa" w:w="19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LOUER</w:t>
            </w:r>
          </w:p>
        </w:tc>
        <w:tc>
          <w:tcPr>
            <w:tcW w:type="dxa" w:w="44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Location d'un exemplaire (V1)</w:t>
            </w:r>
          </w:p>
        </w:tc>
        <w:tc>
          <w:tcPr>
            <w:tcW w:type="dxa" w:w="21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 / NUMBER</w:t>
            </w:r>
          </w:p>
        </w:tc>
        <w:tc>
          <w:tcPr>
            <w:tcW w:type="dxa" w:w="3700"/>
            <w:tcBorders>
              <w:top w:val="single" w:color="8EA9C1" w:sz="4"/>
              <w:left w:val="single" w:color="8EA9C1" w:sz="4"/>
              <w:bottom w:val="single" w:color="8EA9C1" w:sz="4"/>
              <w:right w:val="single" w:color="8EA9C1" w:sz="4"/>
            </w:tcBorders>
            <w:tcMar>
              <w:top w:type="dxa" w:w="60"/>
              <w:left w:type="dxa" w:w="90"/>
              <w:bottom w:type="dxa" w:w="60"/>
              <w:right w:type="dxa" w:w="90"/>
            </w:tcMar>
            <w:vAlign w:val="center"/>
          </w:tcPr>
          <w:p>
            <w:pPr>
              <w:spacing w:after="0"/>
            </w:pPr>
            <w:r>
              <w:rPr>
                <w:rFonts w:ascii="Calibri" w:cs="Calibri" w:eastAsia="Calibri" w:hAnsi="Calibri"/>
                <w:b w:val="false"/>
                <w:bCs w:val="false"/>
                <w:sz w:val="18"/>
                <w:szCs w:val="18"/>
              </w:rPr>
              <w:t xml:space="preserve">DateL &lt;= SYSDATE ; Duree_Loc &gt; 0</w:t>
            </w:r>
          </w:p>
        </w:tc>
      </w:tr>
    </w:tbl>
    <w:p>
      <w:pPr>
        <w:spacing w:after="60"/>
      </w:pPr>
      <w:r>
        <w:rPr>
          <w:rFonts w:ascii="Calibri" w:cs="Calibri" w:eastAsia="Calibri" w:hAnsi="Calibri"/>
          <w:sz w:val="21"/>
          <w:szCs w:val="21"/>
        </w:rPr>
        <w:t xml:space="preserve"/>
      </w:r>
    </w:p>
    <w:p>
      <w:pPr>
        <w:pStyle w:val="Heading2"/>
      </w:pPr>
      <w:r>
        <w:t xml:space="preserve">Choix de l'architecture : DSA sans ODS</w:t>
      </w:r>
    </w:p>
    <w:p>
      <w:pPr>
        <w:spacing w:after="120"/>
      </w:pPr>
      <w:r>
        <w:rPr>
          <w:rFonts w:ascii="Calibri" w:cs="Calibri" w:eastAsia="Calibri" w:hAnsi="Calibri"/>
          <w:sz w:val="21"/>
          <w:szCs w:val="21"/>
        </w:rPr>
        <w:t xml:space="preserve">Nous retenons une zone de préparation des données (DSA) mais pas d'ODS. La DSA est indispensable car les sources sont hétérogènes (BD Oracle, BD du portail RH, fichiers CSV et Excel) et demandent des transformations avant chargement : correspondance matricule ↔ CodeE, rapprochement des libellés de services, conversion HT / TTC, rattachement des villes allemandes à leur Land. Un ODS n'est pas justifié : aucun décideur n'a besoin de données opérationnelles en temps réel, les analyses portent sur l'historique et l'alimentation est quotidienne (activité) ou mensuelle (RH).</w:t>
      </w:r>
    </w:p>
    <w:sectPr>
      <w:pgSz w:w="16838" w:h="11906" w:orient="landscape"/>
      <w:pgMar w:top="1000" w:right="1220" w:bottom="100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00"/>
      <w:outlineLvl w:val="0"/>
    </w:pPr>
    <w:rPr>
      <w:rFonts w:ascii="Calibri" w:cs="Calibri" w:eastAsia="Calibri" w:hAnsi="Calibri"/>
      <w:b/>
      <w:bCs/>
      <w:color w:val="1F4E79"/>
      <w:sz w:val="32"/>
      <w:szCs w:val="32"/>
    </w:rPr>
  </w:style>
  <w:style w:type="paragraph" w:styleId="Heading2">
    <w:name w:val="Heading 2"/>
    <w:basedOn w:val="Normal"/>
    <w:next w:val="Normal"/>
    <w:pPr>
      <w:spacing w:after="120" w:before="28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2026-10-12T13:03:03.574Z</dcterms:created>
  <dcterms:modified xsi:type="dcterms:W3CDTF">2026-10-12T13:03:03.588Z</dcterms:modified>
</cp:coreProperties>
</file>

<file path=docProps/custom.xml><?xml version="1.0" encoding="utf-8"?>
<Properties xmlns="http://schemas.openxmlformats.org/officeDocument/2006/custom-properties" xmlns:vt="http://schemas.openxmlformats.org/officeDocument/2006/docPropsVTypes"/>
</file>