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Expression des besoins</w:t>
      </w:r>
    </w:p>
    <w:p>
      <w:pPr>
        <w:spacing w:after="120"/>
      </w:pPr>
      <w:r>
        <w:rPr>
          <w:rFonts w:ascii="Calibri" w:cs="Calibri" w:eastAsia="Calibri" w:hAnsi="Calibri"/>
          <w:i/>
          <w:iCs/>
          <w:color w:val="595959"/>
          <w:sz w:val="21"/>
          <w:szCs w:val="21"/>
        </w:rPr>
        <w:t xml:space="preserve">Projet MobiPass : nouvelle version du SAD (prototype POC sous Oracle)</w:t>
      </w:r>
    </w:p>
    <w:p>
      <w:pPr>
        <w:spacing w:after="120"/>
      </w:pPr>
      <w:r>
        <w:rPr>
          <w:rFonts w:ascii="Calibri" w:cs="Calibri" w:eastAsia="Calibri" w:hAnsi="Calibri"/>
          <w:sz w:val="21"/>
          <w:szCs w:val="21"/>
        </w:rPr>
        <w:t xml:space="preserve">Cette section traduit le cahier des charges de MobiPass en besoins décisionnels. Deux classes de décideurs sont identifiées : le responsable des locations et les responsables des ventes. Ces derniers sont deux personnes (Lyon et Berlin) mais forment une seule classe, car leurs besoins sont identiques ; seul le périmètre géographique des données change. Les besoins marqués « proposé » ne sont pas explicités dans le cahier des charges : ce sont des rapports que nous proposons, le client nous ayant laissé le soin de les définir.</w:t>
      </w:r>
    </w:p>
    <w:p>
      <w:pPr>
        <w:pStyle w:val="Heading2"/>
      </w:pPr>
      <w:r>
        <w:t xml:space="preserve">Tableau des besoins</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900"/>
        <w:gridCol w:w="1700"/>
        <w:gridCol w:w="2900"/>
        <w:gridCol w:w="4300"/>
        <w:gridCol w:w="2600"/>
        <w:gridCol w:w="2000"/>
      </w:tblGrid>
      <w:tr>
        <w:trPr>
          <w:tblHeader/>
        </w:trPr>
        <w:tc>
          <w:tcPr>
            <w:tcW w:type="dxa" w:w="900"/>
            <w:tcBorders>
              <w:top w:val="single" w:color="8EA9C1" w:sz="4"/>
              <w:left w:val="single" w:color="8EA9C1" w:sz="4"/>
              <w:bottom w:val="single" w:color="8EA9C1" w:sz="4"/>
              <w:right w:val="single" w:color="8EA9C1" w:sz="4"/>
            </w:tcBorders>
            <w:shd w:fill="1F4E79" w:color="auto" w:val="clear"/>
            <w:tcMar>
              <w:top w:type="dxa" w:w="60"/>
              <w:left w:type="dxa" w:w="90"/>
              <w:bottom w:type="dxa" w:w="60"/>
              <w:right w:type="dxa" w:w="90"/>
            </w:tcMar>
            <w:vAlign w:val="center"/>
          </w:tcPr>
          <w:p>
            <w:pPr>
              <w:spacing w:after="0"/>
              <w:jc w:val="center"/>
            </w:pPr>
            <w:r>
              <w:rPr>
                <w:rFonts w:ascii="Calibri" w:cs="Calibri" w:eastAsia="Calibri" w:hAnsi="Calibri"/>
                <w:b/>
                <w:bCs/>
                <w:color w:val="FFFFFF"/>
                <w:sz w:val="18"/>
                <w:szCs w:val="18"/>
              </w:rPr>
              <w:t xml:space="preserve">Réf.</w:t>
            </w:r>
          </w:p>
        </w:tc>
        <w:tc>
          <w:tcPr>
            <w:tcW w:type="dxa" w:w="1700"/>
            <w:tcBorders>
              <w:top w:val="single" w:color="8EA9C1" w:sz="4"/>
              <w:left w:val="single" w:color="8EA9C1" w:sz="4"/>
              <w:bottom w:val="single" w:color="8EA9C1" w:sz="4"/>
              <w:right w:val="single" w:color="8EA9C1" w:sz="4"/>
            </w:tcBorders>
            <w:shd w:fill="1F4E79" w:color="auto" w:val="clear"/>
            <w:tcMar>
              <w:top w:type="dxa" w:w="60"/>
              <w:left w:type="dxa" w:w="90"/>
              <w:bottom w:type="dxa" w:w="60"/>
              <w:right w:type="dxa" w:w="90"/>
            </w:tcMar>
            <w:vAlign w:val="center"/>
          </w:tcPr>
          <w:p>
            <w:pPr>
              <w:spacing w:after="0"/>
              <w:jc w:val="center"/>
            </w:pPr>
            <w:r>
              <w:rPr>
                <w:rFonts w:ascii="Calibri" w:cs="Calibri" w:eastAsia="Calibri" w:hAnsi="Calibri"/>
                <w:b/>
                <w:bCs/>
                <w:color w:val="FFFFFF"/>
                <w:sz w:val="18"/>
                <w:szCs w:val="18"/>
              </w:rPr>
              <w:t xml:space="preserve">Classe de décideur</w:t>
            </w:r>
          </w:p>
        </w:tc>
        <w:tc>
          <w:tcPr>
            <w:tcW w:type="dxa" w:w="2900"/>
            <w:tcBorders>
              <w:top w:val="single" w:color="8EA9C1" w:sz="4"/>
              <w:left w:val="single" w:color="8EA9C1" w:sz="4"/>
              <w:bottom w:val="single" w:color="8EA9C1" w:sz="4"/>
              <w:right w:val="single" w:color="8EA9C1" w:sz="4"/>
            </w:tcBorders>
            <w:shd w:fill="1F4E79" w:color="auto" w:val="clear"/>
            <w:tcMar>
              <w:top w:type="dxa" w:w="60"/>
              <w:left w:type="dxa" w:w="90"/>
              <w:bottom w:type="dxa" w:w="60"/>
              <w:right w:type="dxa" w:w="90"/>
            </w:tcMar>
            <w:vAlign w:val="center"/>
          </w:tcPr>
          <w:p>
            <w:pPr>
              <w:spacing w:after="0"/>
              <w:jc w:val="center"/>
            </w:pPr>
            <w:r>
              <w:rPr>
                <w:rFonts w:ascii="Calibri" w:cs="Calibri" w:eastAsia="Calibri" w:hAnsi="Calibri"/>
                <w:b/>
                <w:bCs/>
                <w:color w:val="FFFFFF"/>
                <w:sz w:val="18"/>
                <w:szCs w:val="18"/>
              </w:rPr>
              <w:t xml:space="preserve">Besoin (description)</w:t>
            </w:r>
          </w:p>
        </w:tc>
        <w:tc>
          <w:tcPr>
            <w:tcW w:type="dxa" w:w="4300"/>
            <w:tcBorders>
              <w:top w:val="single" w:color="8EA9C1" w:sz="4"/>
              <w:left w:val="single" w:color="8EA9C1" w:sz="4"/>
              <w:bottom w:val="single" w:color="8EA9C1" w:sz="4"/>
              <w:right w:val="single" w:color="8EA9C1" w:sz="4"/>
            </w:tcBorders>
            <w:shd w:fill="1F4E79" w:color="auto" w:val="clear"/>
            <w:tcMar>
              <w:top w:type="dxa" w:w="60"/>
              <w:left w:type="dxa" w:w="90"/>
              <w:bottom w:type="dxa" w:w="60"/>
              <w:right w:type="dxa" w:w="90"/>
            </w:tcMar>
            <w:vAlign w:val="center"/>
          </w:tcPr>
          <w:p>
            <w:pPr>
              <w:spacing w:after="0"/>
              <w:jc w:val="center"/>
            </w:pPr>
            <w:r>
              <w:rPr>
                <w:rFonts w:ascii="Calibri" w:cs="Calibri" w:eastAsia="Calibri" w:hAnsi="Calibri"/>
                <w:b/>
                <w:bCs/>
                <w:color w:val="FFFFFF"/>
                <w:sz w:val="18"/>
                <w:szCs w:val="18"/>
              </w:rPr>
              <w:t xml:space="preserve">Restitutions souhaitées</w:t>
            </w:r>
          </w:p>
        </w:tc>
        <w:tc>
          <w:tcPr>
            <w:tcW w:type="dxa" w:w="2600"/>
            <w:tcBorders>
              <w:top w:val="single" w:color="8EA9C1" w:sz="4"/>
              <w:left w:val="single" w:color="8EA9C1" w:sz="4"/>
              <w:bottom w:val="single" w:color="8EA9C1" w:sz="4"/>
              <w:right w:val="single" w:color="8EA9C1" w:sz="4"/>
            </w:tcBorders>
            <w:shd w:fill="1F4E79" w:color="auto" w:val="clear"/>
            <w:tcMar>
              <w:top w:type="dxa" w:w="60"/>
              <w:left w:type="dxa" w:w="90"/>
              <w:bottom w:type="dxa" w:w="60"/>
              <w:right w:type="dxa" w:w="90"/>
            </w:tcMar>
            <w:vAlign w:val="center"/>
          </w:tcPr>
          <w:p>
            <w:pPr>
              <w:spacing w:after="0"/>
              <w:jc w:val="center"/>
            </w:pPr>
            <w:r>
              <w:rPr>
                <w:rFonts w:ascii="Calibri" w:cs="Calibri" w:eastAsia="Calibri" w:hAnsi="Calibri"/>
                <w:b/>
                <w:bCs/>
                <w:color w:val="FFFFFF"/>
                <w:sz w:val="18"/>
                <w:szCs w:val="18"/>
              </w:rPr>
              <w:t xml:space="preserve">Type de restitution</w:t>
            </w:r>
          </w:p>
        </w:tc>
        <w:tc>
          <w:tcPr>
            <w:tcW w:type="dxa" w:w="2000"/>
            <w:tcBorders>
              <w:top w:val="single" w:color="8EA9C1" w:sz="4"/>
              <w:left w:val="single" w:color="8EA9C1" w:sz="4"/>
              <w:bottom w:val="single" w:color="8EA9C1" w:sz="4"/>
              <w:right w:val="single" w:color="8EA9C1" w:sz="4"/>
            </w:tcBorders>
            <w:shd w:fill="1F4E79" w:color="auto" w:val="clear"/>
            <w:tcMar>
              <w:top w:type="dxa" w:w="60"/>
              <w:left w:type="dxa" w:w="90"/>
              <w:bottom w:type="dxa" w:w="60"/>
              <w:right w:type="dxa" w:w="90"/>
            </w:tcMar>
            <w:vAlign w:val="center"/>
          </w:tcPr>
          <w:p>
            <w:pPr>
              <w:spacing w:after="0"/>
              <w:jc w:val="center"/>
            </w:pPr>
            <w:r>
              <w:rPr>
                <w:rFonts w:ascii="Calibri" w:cs="Calibri" w:eastAsia="Calibri" w:hAnsi="Calibri"/>
                <w:b/>
                <w:bCs/>
                <w:color w:val="FFFFFF"/>
                <w:sz w:val="18"/>
                <w:szCs w:val="18"/>
              </w:rPr>
              <w:t xml:space="preserve">Fréquence / origine</w:t>
            </w:r>
          </w:p>
        </w:tc>
      </w:tr>
      <w:tr>
        <w:trPr>
          <w:cantSplit/>
        </w:trPr>
        <w:tc>
          <w:tcPr>
            <w:tcW w:type="dxa" w:w="900"/>
            <w:vMerge w:val="restart"/>
            <w:tcBorders>
              <w:top w:val="single" w:color="8EA9C1" w:sz="4"/>
              <w:left w:val="single" w:color="8EA9C1" w:sz="4"/>
              <w:bottom w:val="single" w:color="8EA9C1" w:sz="4"/>
              <w:right w:val="single" w:color="8EA9C1" w:sz="4"/>
            </w:tcBorders>
            <w:shd w:fill="DCE6F1" w:color="auto" w:val="clear"/>
            <w:tcMar>
              <w:top w:type="dxa" w:w="60"/>
              <w:left w:type="dxa" w:w="90"/>
              <w:bottom w:type="dxa" w:w="60"/>
              <w:right w:type="dxa" w:w="90"/>
            </w:tcMar>
            <w:vAlign w:val="center"/>
          </w:tcPr>
          <w:p>
            <w:pPr>
              <w:spacing w:after="0"/>
              <w:jc w:val="center"/>
            </w:pPr>
            <w:r>
              <w:rPr>
                <w:rFonts w:ascii="Calibri" w:cs="Calibri" w:eastAsia="Calibri" w:hAnsi="Calibri"/>
                <w:b/>
                <w:bCs/>
                <w:sz w:val="18"/>
                <w:szCs w:val="18"/>
              </w:rPr>
              <w:t xml:space="preserve">B1</w:t>
            </w:r>
          </w:p>
        </w:tc>
        <w:tc>
          <w:tcPr>
            <w:tcW w:type="dxa" w:w="1700"/>
            <w:vMerge w:val="restart"/>
            <w:tcBorders>
              <w:top w:val="single" w:color="8EA9C1" w:sz="4"/>
              <w:left w:val="single" w:color="8EA9C1" w:sz="4"/>
              <w:bottom w:val="single" w:color="8EA9C1" w:sz="4"/>
              <w:right w:val="single" w:color="8EA9C1" w:sz="4"/>
            </w:tcBorders>
            <w:shd w:fill="F2F6FA" w:color="auto" w:val="clear"/>
            <w:tcMar>
              <w:top w:type="dxa" w:w="60"/>
              <w:left w:type="dxa" w:w="90"/>
              <w:bottom w:type="dxa" w:w="60"/>
              <w:right w:type="dxa" w:w="90"/>
            </w:tcMar>
            <w:vAlign w:val="center"/>
          </w:tcPr>
          <w:p>
            <w:pPr>
              <w:spacing w:after="0"/>
            </w:pPr>
            <w:r>
              <w:rPr>
                <w:rFonts w:ascii="Calibri" w:cs="Calibri" w:eastAsia="Calibri" w:hAnsi="Calibri"/>
                <w:sz w:val="18"/>
                <w:szCs w:val="18"/>
              </w:rPr>
              <w:t xml:space="preserve">Responsable des locations</w:t>
            </w:r>
          </w:p>
        </w:tc>
        <w:tc>
          <w:tcPr>
            <w:tcW w:type="dxa" w:w="2900"/>
            <w:vMerge w:val="restart"/>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Suivi quotidien des locations : accès le plus rapide possible aux analyses récurrentes, sans connaissance d'un langage de requêtes.</w:t>
            </w:r>
          </w:p>
        </w:tc>
        <w:tc>
          <w:tcPr>
            <w:tcW w:type="dxa" w:w="43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i w:val="false"/>
                <w:iCs w:val="false"/>
                <w:sz w:val="18"/>
                <w:szCs w:val="18"/>
              </w:rPr>
              <w:t xml:space="preserve">B1.1 : Montants des locations réellement payés, par mois et par société</w:t>
            </w:r>
          </w:p>
        </w:tc>
        <w:tc>
          <w:tcPr>
            <w:tcW w:type="dxa" w:w="26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Tableau croisé (sociétés × mois)</w:t>
            </w:r>
          </w:p>
        </w:tc>
        <w:tc>
          <w:tcPr>
            <w:tcW w:type="dxa" w:w="20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Quotidienne · explicite (a)</w:t>
            </w:r>
          </w:p>
        </w:tc>
      </w:tr>
      <w:tr>
        <w:trPr>
          <w:cantSplit/>
        </w:trPr>
        <w:tc>
          <w:tcPr>
            <w:vMerge w:val="continue"/>
            <w:tcBorders>
              <w:top w:val="single" w:color="8EA9C1" w:sz="4"/>
              <w:left w:val="single" w:color="8EA9C1" w:sz="4"/>
              <w:bottom w:val="single" w:color="8EA9C1" w:sz="4"/>
              <w:right w:val="single" w:color="8EA9C1" w:sz="4"/>
            </w:tcBorders>
          </w:tcPr>
          <w:p/>
        </w:tc>
        <w:tc>
          <w:tcPr>
            <w:vMerge w:val="continue"/>
            <w:tcBorders>
              <w:top w:val="single" w:color="8EA9C1" w:sz="4"/>
              <w:left w:val="single" w:color="8EA9C1" w:sz="4"/>
              <w:bottom w:val="single" w:color="8EA9C1" w:sz="4"/>
              <w:right w:val="single" w:color="8EA9C1" w:sz="4"/>
            </w:tcBorders>
          </w:tcPr>
          <w:p/>
        </w:tc>
        <w:tc>
          <w:tcPr>
            <w:vMerge w:val="continue"/>
            <w:tcBorders>
              <w:top w:val="single" w:color="8EA9C1" w:sz="4"/>
              <w:left w:val="single" w:color="8EA9C1" w:sz="4"/>
              <w:bottom w:val="single" w:color="8EA9C1" w:sz="4"/>
              <w:right w:val="single" w:color="8EA9C1" w:sz="4"/>
            </w:tcBorders>
          </w:tcPr>
          <w:p/>
        </w:tc>
        <w:tc>
          <w:tcPr>
            <w:tcW w:type="dxa" w:w="43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i w:val="false"/>
                <w:iCs w:val="false"/>
                <w:sz w:val="18"/>
                <w:szCs w:val="18"/>
              </w:rPr>
              <w:t xml:space="preserve">B1.2 : Montants réellement payés et durées des locations, par semaine et par salarié</w:t>
            </w:r>
          </w:p>
        </w:tc>
        <w:tc>
          <w:tcPr>
            <w:tcW w:type="dxa" w:w="26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Tableau croisé (salariés × semaines)</w:t>
            </w:r>
          </w:p>
        </w:tc>
        <w:tc>
          <w:tcPr>
            <w:tcW w:type="dxa" w:w="20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Quotidienne · explicite (b)</w:t>
            </w:r>
          </w:p>
        </w:tc>
      </w:tr>
      <w:tr>
        <w:trPr>
          <w:cantSplit/>
        </w:trPr>
        <w:tc>
          <w:tcPr>
            <w:vMerge w:val="continue"/>
            <w:tcBorders>
              <w:top w:val="single" w:color="8EA9C1" w:sz="4"/>
              <w:left w:val="single" w:color="8EA9C1" w:sz="4"/>
              <w:bottom w:val="single" w:color="8EA9C1" w:sz="4"/>
              <w:right w:val="single" w:color="8EA9C1" w:sz="4"/>
            </w:tcBorders>
          </w:tcPr>
          <w:p/>
        </w:tc>
        <w:tc>
          <w:tcPr>
            <w:vMerge w:val="continue"/>
            <w:tcBorders>
              <w:top w:val="single" w:color="8EA9C1" w:sz="4"/>
              <w:left w:val="single" w:color="8EA9C1" w:sz="4"/>
              <w:bottom w:val="single" w:color="8EA9C1" w:sz="4"/>
              <w:right w:val="single" w:color="8EA9C1" w:sz="4"/>
            </w:tcBorders>
          </w:tcPr>
          <w:p/>
        </w:tc>
        <w:tc>
          <w:tcPr>
            <w:vMerge w:val="continue"/>
            <w:tcBorders>
              <w:top w:val="single" w:color="8EA9C1" w:sz="4"/>
              <w:left w:val="single" w:color="8EA9C1" w:sz="4"/>
              <w:bottom w:val="single" w:color="8EA9C1" w:sz="4"/>
              <w:right w:val="single" w:color="8EA9C1" w:sz="4"/>
            </w:tcBorders>
          </w:tcPr>
          <w:p/>
        </w:tc>
        <w:tc>
          <w:tcPr>
            <w:tcW w:type="dxa" w:w="43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i w:val="false"/>
                <w:iCs w:val="false"/>
                <w:sz w:val="18"/>
                <w:szCs w:val="18"/>
              </w:rPr>
              <w:t xml:space="preserve">B1.3 : Durées des locations, par mois et par région (France et Allemagne)</w:t>
            </w:r>
          </w:p>
        </w:tc>
        <w:tc>
          <w:tcPr>
            <w:tcW w:type="dxa" w:w="26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Tableau + graphique (histogramme ou courbes par région)</w:t>
            </w:r>
          </w:p>
        </w:tc>
        <w:tc>
          <w:tcPr>
            <w:tcW w:type="dxa" w:w="20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Quotidienne · explicite (c)</w:t>
            </w:r>
          </w:p>
        </w:tc>
      </w:tr>
      <w:tr>
        <w:trPr>
          <w:cantSplit/>
        </w:trPr>
        <w:tc>
          <w:tcPr>
            <w:tcW w:type="dxa" w:w="900"/>
            <w:vMerge w:val="restart"/>
            <w:tcBorders>
              <w:top w:val="single" w:color="8EA9C1" w:sz="4"/>
              <w:left w:val="single" w:color="8EA9C1" w:sz="4"/>
              <w:bottom w:val="single" w:color="8EA9C1" w:sz="4"/>
              <w:right w:val="single" w:color="8EA9C1" w:sz="4"/>
            </w:tcBorders>
            <w:shd w:fill="DCE6F1" w:color="auto" w:val="clear"/>
            <w:tcMar>
              <w:top w:type="dxa" w:w="60"/>
              <w:left w:type="dxa" w:w="90"/>
              <w:bottom w:type="dxa" w:w="60"/>
              <w:right w:type="dxa" w:w="90"/>
            </w:tcMar>
            <w:vAlign w:val="center"/>
          </w:tcPr>
          <w:p>
            <w:pPr>
              <w:spacing w:after="0"/>
              <w:jc w:val="center"/>
            </w:pPr>
            <w:r>
              <w:rPr>
                <w:rFonts w:ascii="Calibri" w:cs="Calibri" w:eastAsia="Calibri" w:hAnsi="Calibri"/>
                <w:b/>
                <w:bCs/>
                <w:sz w:val="18"/>
                <w:szCs w:val="18"/>
              </w:rPr>
              <w:t xml:space="preserve">B2</w:t>
            </w:r>
          </w:p>
        </w:tc>
        <w:tc>
          <w:tcPr>
            <w:tcW w:type="dxa" w:w="1700"/>
            <w:vMerge w:val="restart"/>
            <w:tcBorders>
              <w:top w:val="single" w:color="8EA9C1" w:sz="4"/>
              <w:left w:val="single" w:color="8EA9C1" w:sz="4"/>
              <w:bottom w:val="single" w:color="8EA9C1" w:sz="4"/>
              <w:right w:val="single" w:color="8EA9C1" w:sz="4"/>
            </w:tcBorders>
            <w:shd w:fill="F2F6FA" w:color="auto" w:val="clear"/>
            <w:tcMar>
              <w:top w:type="dxa" w:w="60"/>
              <w:left w:type="dxa" w:w="90"/>
              <w:bottom w:type="dxa" w:w="60"/>
              <w:right w:type="dxa" w:w="90"/>
            </w:tcMar>
            <w:vAlign w:val="center"/>
          </w:tcPr>
          <w:p>
            <w:pPr>
              <w:spacing w:after="0"/>
            </w:pPr>
            <w:r>
              <w:rPr>
                <w:rFonts w:ascii="Calibri" w:cs="Calibri" w:eastAsia="Calibri" w:hAnsi="Calibri"/>
                <w:sz w:val="18"/>
                <w:szCs w:val="18"/>
              </w:rPr>
              <w:t xml:space="preserve">Responsable des locations</w:t>
            </w:r>
          </w:p>
        </w:tc>
        <w:tc>
          <w:tcPr>
            <w:tcW w:type="dxa" w:w="2900"/>
            <w:vMerge w:val="restart"/>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Analyse en ligne libre des locations pour comprendre les périodes de tension (printemps, été) et ajuster le parc.</w:t>
            </w:r>
          </w:p>
        </w:tc>
        <w:tc>
          <w:tcPr>
            <w:tcW w:type="dxa" w:w="43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i w:val="false"/>
                <w:iCs w:val="false"/>
                <w:sz w:val="18"/>
                <w:szCs w:val="18"/>
              </w:rPr>
              <w:t xml:space="preserve">B2.1 : Durée, montant au prix public et montant réellement payé des locations, par semaine, mois et année</w:t>
            </w:r>
          </w:p>
        </w:tc>
        <w:tc>
          <w:tcPr>
            <w:tcW w:type="dxa" w:w="26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Analyse OLAP interactive (forage, rotation, filtres)</w:t>
            </w:r>
          </w:p>
        </w:tc>
        <w:tc>
          <w:tcPr>
            <w:tcW w:type="dxa" w:w="20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À la demande · explicite</w:t>
            </w:r>
          </w:p>
        </w:tc>
      </w:tr>
      <w:tr>
        <w:trPr>
          <w:cantSplit/>
        </w:trPr>
        <w:tc>
          <w:tcPr>
            <w:vMerge w:val="continue"/>
            <w:tcBorders>
              <w:top w:val="single" w:color="8EA9C1" w:sz="4"/>
              <w:left w:val="single" w:color="8EA9C1" w:sz="4"/>
              <w:bottom w:val="single" w:color="8EA9C1" w:sz="4"/>
              <w:right w:val="single" w:color="8EA9C1" w:sz="4"/>
            </w:tcBorders>
          </w:tcPr>
          <w:p/>
        </w:tc>
        <w:tc>
          <w:tcPr>
            <w:vMerge w:val="continue"/>
            <w:tcBorders>
              <w:top w:val="single" w:color="8EA9C1" w:sz="4"/>
              <w:left w:val="single" w:color="8EA9C1" w:sz="4"/>
              <w:bottom w:val="single" w:color="8EA9C1" w:sz="4"/>
              <w:right w:val="single" w:color="8EA9C1" w:sz="4"/>
            </w:tcBorders>
          </w:tcPr>
          <w:p/>
        </w:tc>
        <w:tc>
          <w:tcPr>
            <w:vMerge w:val="continue"/>
            <w:tcBorders>
              <w:top w:val="single" w:color="8EA9C1" w:sz="4"/>
              <w:left w:val="single" w:color="8EA9C1" w:sz="4"/>
              <w:bottom w:val="single" w:color="8EA9C1" w:sz="4"/>
              <w:right w:val="single" w:color="8EA9C1" w:sz="4"/>
            </w:tcBorders>
          </w:tcPr>
          <w:p/>
        </w:tc>
        <w:tc>
          <w:tcPr>
            <w:tcW w:type="dxa" w:w="43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i w:val="false"/>
                <w:iCs w:val="false"/>
                <w:sz w:val="18"/>
                <w:szCs w:val="18"/>
              </w:rPr>
              <w:t xml:space="preserve">B2.2 : Mêmes mesures selon l'exemplaire et toutes ses informations produit (produit, gamme, secteur, génération, fabricant, agence)</w:t>
            </w:r>
          </w:p>
        </w:tc>
        <w:tc>
          <w:tcPr>
            <w:tcW w:type="dxa" w:w="26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Analyse OLAP interactive</w:t>
            </w:r>
          </w:p>
        </w:tc>
        <w:tc>
          <w:tcPr>
            <w:tcW w:type="dxa" w:w="20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À la demande · explicite</w:t>
            </w:r>
          </w:p>
        </w:tc>
      </w:tr>
      <w:tr>
        <w:trPr>
          <w:cantSplit/>
        </w:trPr>
        <w:tc>
          <w:tcPr>
            <w:vMerge w:val="continue"/>
            <w:tcBorders>
              <w:top w:val="single" w:color="8EA9C1" w:sz="4"/>
              <w:left w:val="single" w:color="8EA9C1" w:sz="4"/>
              <w:bottom w:val="single" w:color="8EA9C1" w:sz="4"/>
              <w:right w:val="single" w:color="8EA9C1" w:sz="4"/>
            </w:tcBorders>
          </w:tcPr>
          <w:p/>
        </w:tc>
        <w:tc>
          <w:tcPr>
            <w:vMerge w:val="continue"/>
            <w:tcBorders>
              <w:top w:val="single" w:color="8EA9C1" w:sz="4"/>
              <w:left w:val="single" w:color="8EA9C1" w:sz="4"/>
              <w:bottom w:val="single" w:color="8EA9C1" w:sz="4"/>
              <w:right w:val="single" w:color="8EA9C1" w:sz="4"/>
            </w:tcBorders>
          </w:tcPr>
          <w:p/>
        </w:tc>
        <w:tc>
          <w:tcPr>
            <w:vMerge w:val="continue"/>
            <w:tcBorders>
              <w:top w:val="single" w:color="8EA9C1" w:sz="4"/>
              <w:left w:val="single" w:color="8EA9C1" w:sz="4"/>
              <w:bottom w:val="single" w:color="8EA9C1" w:sz="4"/>
              <w:right w:val="single" w:color="8EA9C1" w:sz="4"/>
            </w:tcBorders>
          </w:tcPr>
          <w:p/>
        </w:tc>
        <w:tc>
          <w:tcPr>
            <w:tcW w:type="dxa" w:w="43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i w:val="false"/>
                <w:iCs w:val="false"/>
                <w:sz w:val="18"/>
                <w:szCs w:val="18"/>
              </w:rPr>
              <w:t xml:space="preserve">B2.3 : Mêmes mesures selon l'employé (nom, prénom, profil, classe de trajet, service à la date de la location) et la géographie de sa société, quel que soit son pays (vue par pays et vue consolidée, confirmé le 14/10)</w:t>
            </w:r>
          </w:p>
        </w:tc>
        <w:tc>
          <w:tcPr>
            <w:tcW w:type="dxa" w:w="26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Analyse OLAP interactive</w:t>
            </w:r>
          </w:p>
        </w:tc>
        <w:tc>
          <w:tcPr>
            <w:tcW w:type="dxa" w:w="20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À la demande · explicite</w:t>
            </w:r>
          </w:p>
        </w:tc>
      </w:tr>
      <w:tr>
        <w:trPr>
          <w:cantSplit/>
        </w:trPr>
        <w:tc>
          <w:tcPr>
            <w:tcW w:type="dxa" w:w="900"/>
            <w:vMerge w:val="restart"/>
            <w:tcBorders>
              <w:top w:val="single" w:color="8EA9C1" w:sz="4"/>
              <w:left w:val="single" w:color="8EA9C1" w:sz="4"/>
              <w:bottom w:val="single" w:color="8EA9C1" w:sz="4"/>
              <w:right w:val="single" w:color="8EA9C1" w:sz="4"/>
            </w:tcBorders>
            <w:shd w:fill="DCE6F1" w:color="auto" w:val="clear"/>
            <w:tcMar>
              <w:top w:type="dxa" w:w="60"/>
              <w:left w:type="dxa" w:w="90"/>
              <w:bottom w:type="dxa" w:w="60"/>
              <w:right w:type="dxa" w:w="90"/>
            </w:tcMar>
            <w:vAlign w:val="center"/>
          </w:tcPr>
          <w:p>
            <w:pPr>
              <w:spacing w:after="0"/>
              <w:jc w:val="center"/>
            </w:pPr>
            <w:r>
              <w:rPr>
                <w:rFonts w:ascii="Calibri" w:cs="Calibri" w:eastAsia="Calibri" w:hAnsi="Calibri"/>
                <w:b/>
                <w:bCs/>
                <w:sz w:val="18"/>
                <w:szCs w:val="18"/>
              </w:rPr>
              <w:t xml:space="preserve">B3</w:t>
            </w:r>
          </w:p>
        </w:tc>
        <w:tc>
          <w:tcPr>
            <w:tcW w:type="dxa" w:w="1700"/>
            <w:vMerge w:val="restart"/>
            <w:tcBorders>
              <w:top w:val="single" w:color="8EA9C1" w:sz="4"/>
              <w:left w:val="single" w:color="8EA9C1" w:sz="4"/>
              <w:bottom w:val="single" w:color="8EA9C1" w:sz="4"/>
              <w:right w:val="single" w:color="8EA9C1" w:sz="4"/>
            </w:tcBorders>
            <w:shd w:fill="F2F6FA" w:color="auto" w:val="clear"/>
            <w:tcMar>
              <w:top w:type="dxa" w:w="60"/>
              <w:left w:type="dxa" w:w="90"/>
              <w:bottom w:type="dxa" w:w="60"/>
              <w:right w:type="dxa" w:w="90"/>
            </w:tcMar>
            <w:vAlign w:val="center"/>
          </w:tcPr>
          <w:p>
            <w:pPr>
              <w:spacing w:after="0"/>
            </w:pPr>
            <w:r>
              <w:rPr>
                <w:rFonts w:ascii="Calibri" w:cs="Calibri" w:eastAsia="Calibri" w:hAnsi="Calibri"/>
                <w:sz w:val="18"/>
                <w:szCs w:val="18"/>
              </w:rPr>
              <w:t xml:space="preserve">Responsables des ventes (Lyon : France, Berlin : Allemagne)</w:t>
            </w:r>
          </w:p>
        </w:tc>
        <w:tc>
          <w:tcPr>
            <w:tcW w:type="dxa" w:w="2900"/>
            <w:vMerge w:val="restart"/>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Pilotage des ventes à moyen terme, chaque responsable limité aux données de son pays (une vue consolidée des deux pays reste possible pour un profil habilité, hypothèse de l'équipe).</w:t>
            </w:r>
          </w:p>
        </w:tc>
        <w:tc>
          <w:tcPr>
            <w:tcW w:type="dxa" w:w="43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i w:val="false"/>
                <w:iCs w:val="false"/>
                <w:sz w:val="18"/>
                <w:szCs w:val="18"/>
              </w:rPr>
              <w:t xml:space="preserve">B3.1 : Quantités achetées, montants réellement payés et bénéfices, par jour, mois et année</w:t>
            </w:r>
          </w:p>
        </w:tc>
        <w:tc>
          <w:tcPr>
            <w:tcW w:type="dxa" w:w="26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Tableau croisé + courbe d'évolution</w:t>
            </w:r>
          </w:p>
        </w:tc>
        <w:tc>
          <w:tcPr>
            <w:tcW w:type="dxa" w:w="20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Hebdomadaire · explicite</w:t>
            </w:r>
          </w:p>
        </w:tc>
      </w:tr>
      <w:tr>
        <w:trPr>
          <w:cantSplit/>
        </w:trPr>
        <w:tc>
          <w:tcPr>
            <w:vMerge w:val="continue"/>
            <w:tcBorders>
              <w:top w:val="single" w:color="8EA9C1" w:sz="4"/>
              <w:left w:val="single" w:color="8EA9C1" w:sz="4"/>
              <w:bottom w:val="single" w:color="8EA9C1" w:sz="4"/>
              <w:right w:val="single" w:color="8EA9C1" w:sz="4"/>
            </w:tcBorders>
          </w:tcPr>
          <w:p/>
        </w:tc>
        <w:tc>
          <w:tcPr>
            <w:vMerge w:val="continue"/>
            <w:tcBorders>
              <w:top w:val="single" w:color="8EA9C1" w:sz="4"/>
              <w:left w:val="single" w:color="8EA9C1" w:sz="4"/>
              <w:bottom w:val="single" w:color="8EA9C1" w:sz="4"/>
              <w:right w:val="single" w:color="8EA9C1" w:sz="4"/>
            </w:tcBorders>
          </w:tcPr>
          <w:p/>
        </w:tc>
        <w:tc>
          <w:tcPr>
            <w:vMerge w:val="continue"/>
            <w:tcBorders>
              <w:top w:val="single" w:color="8EA9C1" w:sz="4"/>
              <w:left w:val="single" w:color="8EA9C1" w:sz="4"/>
              <w:bottom w:val="single" w:color="8EA9C1" w:sz="4"/>
              <w:right w:val="single" w:color="8EA9C1" w:sz="4"/>
            </w:tcBorders>
          </w:tcPr>
          <w:p/>
        </w:tc>
        <w:tc>
          <w:tcPr>
            <w:tcW w:type="dxa" w:w="43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i w:val="false"/>
                <w:iCs w:val="false"/>
                <w:sz w:val="18"/>
                <w:szCs w:val="18"/>
              </w:rPr>
              <w:t xml:space="preserve">B3.2 : Mêmes mesures selon les produits (produit, gamme, secteur) et les employés (profil, classe de trajet, métier ROME pour la France)</w:t>
            </w:r>
          </w:p>
        </w:tc>
        <w:tc>
          <w:tcPr>
            <w:tcW w:type="dxa" w:w="26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Analyse OLAP interactive / tableau croisé</w:t>
            </w:r>
          </w:p>
        </w:tc>
        <w:tc>
          <w:tcPr>
            <w:tcW w:type="dxa" w:w="20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À la demande · explicite</w:t>
            </w:r>
          </w:p>
        </w:tc>
      </w:tr>
      <w:tr>
        <w:trPr>
          <w:cantSplit/>
        </w:trPr>
        <w:tc>
          <w:tcPr>
            <w:vMerge w:val="continue"/>
            <w:tcBorders>
              <w:top w:val="single" w:color="8EA9C1" w:sz="4"/>
              <w:left w:val="single" w:color="8EA9C1" w:sz="4"/>
              <w:bottom w:val="single" w:color="8EA9C1" w:sz="4"/>
              <w:right w:val="single" w:color="8EA9C1" w:sz="4"/>
            </w:tcBorders>
          </w:tcPr>
          <w:p/>
        </w:tc>
        <w:tc>
          <w:tcPr>
            <w:vMerge w:val="continue"/>
            <w:tcBorders>
              <w:top w:val="single" w:color="8EA9C1" w:sz="4"/>
              <w:left w:val="single" w:color="8EA9C1" w:sz="4"/>
              <w:bottom w:val="single" w:color="8EA9C1" w:sz="4"/>
              <w:right w:val="single" w:color="8EA9C1" w:sz="4"/>
            </w:tcBorders>
          </w:tcPr>
          <w:p/>
        </w:tc>
        <w:tc>
          <w:tcPr>
            <w:vMerge w:val="continue"/>
            <w:tcBorders>
              <w:top w:val="single" w:color="8EA9C1" w:sz="4"/>
              <w:left w:val="single" w:color="8EA9C1" w:sz="4"/>
              <w:bottom w:val="single" w:color="8EA9C1" w:sz="4"/>
              <w:right w:val="single" w:color="8EA9C1" w:sz="4"/>
            </w:tcBorders>
          </w:tcPr>
          <w:p/>
        </w:tc>
        <w:tc>
          <w:tcPr>
            <w:tcW w:type="dxa" w:w="43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i w:val="false"/>
                <w:iCs w:val="false"/>
                <w:sz w:val="18"/>
                <w:szCs w:val="18"/>
              </w:rPr>
              <w:t xml:space="preserve">B3.3 : Mêmes mesures selon les sociétés (type INSEE, catégorie juridique, positionnement géographique)</w:t>
            </w:r>
          </w:p>
        </w:tc>
        <w:tc>
          <w:tcPr>
            <w:tcW w:type="dxa" w:w="26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Analyse OLAP interactive / tableau croisé</w:t>
            </w:r>
          </w:p>
        </w:tc>
        <w:tc>
          <w:tcPr>
            <w:tcW w:type="dxa" w:w="20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À la demande · explicite</w:t>
            </w:r>
          </w:p>
        </w:tc>
      </w:tr>
      <w:tr>
        <w:trPr>
          <w:cantSplit/>
        </w:trPr>
        <w:tc>
          <w:tcPr>
            <w:tcW w:type="dxa" w:w="900"/>
            <w:vMerge w:val="restart"/>
            <w:tcBorders>
              <w:top w:val="single" w:color="8EA9C1" w:sz="4"/>
              <w:left w:val="single" w:color="8EA9C1" w:sz="4"/>
              <w:bottom w:val="single" w:color="8EA9C1" w:sz="4"/>
              <w:right w:val="single" w:color="8EA9C1" w:sz="4"/>
            </w:tcBorders>
            <w:shd w:fill="DCE6F1" w:color="auto" w:val="clear"/>
            <w:tcMar>
              <w:top w:type="dxa" w:w="60"/>
              <w:left w:type="dxa" w:w="90"/>
              <w:bottom w:type="dxa" w:w="60"/>
              <w:right w:type="dxa" w:w="90"/>
            </w:tcMar>
            <w:vAlign w:val="center"/>
          </w:tcPr>
          <w:p>
            <w:pPr>
              <w:spacing w:after="0"/>
              <w:jc w:val="center"/>
            </w:pPr>
            <w:r>
              <w:rPr>
                <w:rFonts w:ascii="Calibri" w:cs="Calibri" w:eastAsia="Calibri" w:hAnsi="Calibri"/>
                <w:b/>
                <w:bCs/>
                <w:sz w:val="18"/>
                <w:szCs w:val="18"/>
              </w:rPr>
              <w:t xml:space="preserve">B4</w:t>
            </w:r>
          </w:p>
        </w:tc>
        <w:tc>
          <w:tcPr>
            <w:tcW w:type="dxa" w:w="1700"/>
            <w:vMerge w:val="restart"/>
            <w:tcBorders>
              <w:top w:val="single" w:color="8EA9C1" w:sz="4"/>
              <w:left w:val="single" w:color="8EA9C1" w:sz="4"/>
              <w:bottom w:val="single" w:color="8EA9C1" w:sz="4"/>
              <w:right w:val="single" w:color="8EA9C1" w:sz="4"/>
            </w:tcBorders>
            <w:shd w:fill="F2F6FA" w:color="auto" w:val="clear"/>
            <w:tcMar>
              <w:top w:type="dxa" w:w="60"/>
              <w:left w:type="dxa" w:w="90"/>
              <w:bottom w:type="dxa" w:w="60"/>
              <w:right w:type="dxa" w:w="90"/>
            </w:tcMar>
            <w:vAlign w:val="center"/>
          </w:tcPr>
          <w:p>
            <w:pPr>
              <w:spacing w:after="0"/>
            </w:pPr>
            <w:r>
              <w:rPr>
                <w:rFonts w:ascii="Calibri" w:cs="Calibri" w:eastAsia="Calibri" w:hAnsi="Calibri"/>
                <w:sz w:val="18"/>
                <w:szCs w:val="18"/>
              </w:rPr>
              <w:t xml:space="preserve">Responsables des ventes</w:t>
            </w:r>
          </w:p>
        </w:tc>
        <w:tc>
          <w:tcPr>
            <w:tcW w:type="dxa" w:w="2900"/>
            <w:vMerge w:val="restart"/>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Vision long terme : identifier les gammes de produits les plus adaptées à chaque lieu (rapports emblématiques proposés par l'ESN).</w:t>
            </w:r>
          </w:p>
        </w:tc>
        <w:tc>
          <w:tcPr>
            <w:tcW w:type="dxa" w:w="43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i/>
                <w:iCs/>
                <w:sz w:val="18"/>
                <w:szCs w:val="18"/>
              </w:rPr>
              <w:t xml:space="preserve">B4.1 (proposé) : Rapport « Tableau de bord des ventes » : quantités, montant payé et bénéfice par mois, avec comparaison à l'année précédente</w:t>
            </w:r>
          </w:p>
        </w:tc>
        <w:tc>
          <w:tcPr>
            <w:tcW w:type="dxa" w:w="26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Tableau de bord (indicateurs + courbes)</w:t>
            </w:r>
          </w:p>
        </w:tc>
        <w:tc>
          <w:tcPr>
            <w:tcW w:type="dxa" w:w="2000"/>
            <w:tcBorders>
              <w:top w:val="single" w:color="8EA9C1" w:sz="4"/>
              <w:left w:val="single" w:color="8EA9C1" w:sz="4"/>
              <w:bottom w:val="single" w:color="8EA9C1" w:sz="4"/>
              <w:right w:val="single" w:color="8EA9C1" w:sz="4"/>
            </w:tcBorders>
            <w:shd w:fill="FFF4E0" w:color="auto" w:val="clear"/>
            <w:tcMar>
              <w:top w:type="dxa" w:w="60"/>
              <w:left w:type="dxa" w:w="90"/>
              <w:bottom w:type="dxa" w:w="60"/>
              <w:right w:type="dxa" w:w="90"/>
            </w:tcMar>
            <w:vAlign w:val="center"/>
          </w:tcPr>
          <w:p>
            <w:pPr>
              <w:spacing w:after="0"/>
            </w:pPr>
            <w:r>
              <w:rPr>
                <w:rFonts w:ascii="Calibri" w:cs="Calibri" w:eastAsia="Calibri" w:hAnsi="Calibri"/>
                <w:sz w:val="18"/>
                <w:szCs w:val="18"/>
              </w:rPr>
              <w:t xml:space="preserve">Mensuelle · proposé</w:t>
            </w:r>
          </w:p>
        </w:tc>
      </w:tr>
      <w:tr>
        <w:trPr>
          <w:cantSplit/>
        </w:trPr>
        <w:tc>
          <w:tcPr>
            <w:vMerge w:val="continue"/>
            <w:tcBorders>
              <w:top w:val="single" w:color="8EA9C1" w:sz="4"/>
              <w:left w:val="single" w:color="8EA9C1" w:sz="4"/>
              <w:bottom w:val="single" w:color="8EA9C1" w:sz="4"/>
              <w:right w:val="single" w:color="8EA9C1" w:sz="4"/>
            </w:tcBorders>
          </w:tcPr>
          <w:p/>
        </w:tc>
        <w:tc>
          <w:tcPr>
            <w:vMerge w:val="continue"/>
            <w:tcBorders>
              <w:top w:val="single" w:color="8EA9C1" w:sz="4"/>
              <w:left w:val="single" w:color="8EA9C1" w:sz="4"/>
              <w:bottom w:val="single" w:color="8EA9C1" w:sz="4"/>
              <w:right w:val="single" w:color="8EA9C1" w:sz="4"/>
            </w:tcBorders>
          </w:tcPr>
          <w:p/>
        </w:tc>
        <w:tc>
          <w:tcPr>
            <w:vMerge w:val="continue"/>
            <w:tcBorders>
              <w:top w:val="single" w:color="8EA9C1" w:sz="4"/>
              <w:left w:val="single" w:color="8EA9C1" w:sz="4"/>
              <w:bottom w:val="single" w:color="8EA9C1" w:sz="4"/>
              <w:right w:val="single" w:color="8EA9C1" w:sz="4"/>
            </w:tcBorders>
          </w:tcPr>
          <w:p/>
        </w:tc>
        <w:tc>
          <w:tcPr>
            <w:tcW w:type="dxa" w:w="43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i/>
                <w:iCs/>
                <w:sz w:val="18"/>
                <w:szCs w:val="18"/>
              </w:rPr>
              <w:t xml:space="preserve">B4.2 (proposé) : Rapport « Gammes par territoire » : classement des gammes par montant payé pour chaque région (FR) ou Land (DE)</w:t>
            </w:r>
          </w:p>
        </w:tc>
        <w:tc>
          <w:tcPr>
            <w:tcW w:type="dxa" w:w="26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Carte ou histogramme + classement (top N)</w:t>
            </w:r>
          </w:p>
        </w:tc>
        <w:tc>
          <w:tcPr>
            <w:tcW w:type="dxa" w:w="2000"/>
            <w:tcBorders>
              <w:top w:val="single" w:color="8EA9C1" w:sz="4"/>
              <w:left w:val="single" w:color="8EA9C1" w:sz="4"/>
              <w:bottom w:val="single" w:color="8EA9C1" w:sz="4"/>
              <w:right w:val="single" w:color="8EA9C1" w:sz="4"/>
            </w:tcBorders>
            <w:shd w:fill="FFF4E0" w:color="auto" w:val="clear"/>
            <w:tcMar>
              <w:top w:type="dxa" w:w="60"/>
              <w:left w:type="dxa" w:w="90"/>
              <w:bottom w:type="dxa" w:w="60"/>
              <w:right w:type="dxa" w:w="90"/>
            </w:tcMar>
            <w:vAlign w:val="center"/>
          </w:tcPr>
          <w:p>
            <w:pPr>
              <w:spacing w:after="0"/>
            </w:pPr>
            <w:r>
              <w:rPr>
                <w:rFonts w:ascii="Calibri" w:cs="Calibri" w:eastAsia="Calibri" w:hAnsi="Calibri"/>
                <w:sz w:val="18"/>
                <w:szCs w:val="18"/>
              </w:rPr>
              <w:t xml:space="preserve">Mensuelle · proposé</w:t>
            </w:r>
          </w:p>
        </w:tc>
      </w:tr>
      <w:tr>
        <w:trPr>
          <w:cantSplit/>
        </w:trPr>
        <w:tc>
          <w:tcPr>
            <w:vMerge w:val="continue"/>
            <w:tcBorders>
              <w:top w:val="single" w:color="8EA9C1" w:sz="4"/>
              <w:left w:val="single" w:color="8EA9C1" w:sz="4"/>
              <w:bottom w:val="single" w:color="8EA9C1" w:sz="4"/>
              <w:right w:val="single" w:color="8EA9C1" w:sz="4"/>
            </w:tcBorders>
          </w:tcPr>
          <w:p/>
        </w:tc>
        <w:tc>
          <w:tcPr>
            <w:vMerge w:val="continue"/>
            <w:tcBorders>
              <w:top w:val="single" w:color="8EA9C1" w:sz="4"/>
              <w:left w:val="single" w:color="8EA9C1" w:sz="4"/>
              <w:bottom w:val="single" w:color="8EA9C1" w:sz="4"/>
              <w:right w:val="single" w:color="8EA9C1" w:sz="4"/>
            </w:tcBorders>
          </w:tcPr>
          <w:p/>
        </w:tc>
        <w:tc>
          <w:tcPr>
            <w:vMerge w:val="continue"/>
            <w:tcBorders>
              <w:top w:val="single" w:color="8EA9C1" w:sz="4"/>
              <w:left w:val="single" w:color="8EA9C1" w:sz="4"/>
              <w:bottom w:val="single" w:color="8EA9C1" w:sz="4"/>
              <w:right w:val="single" w:color="8EA9C1" w:sz="4"/>
            </w:tcBorders>
          </w:tcPr>
          <w:p/>
        </w:tc>
        <w:tc>
          <w:tcPr>
            <w:tcW w:type="dxa" w:w="43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i/>
                <w:iCs/>
                <w:sz w:val="18"/>
                <w:szCs w:val="18"/>
              </w:rPr>
              <w:t xml:space="preserve">B4.3 (proposé) : Ventes par type de société et catégorie juridique (formes juridiques françaises et allemandes)</w:t>
            </w:r>
          </w:p>
        </w:tc>
        <w:tc>
          <w:tcPr>
            <w:tcW w:type="dxa" w:w="26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Graphique (barres empilées)</w:t>
            </w:r>
          </w:p>
        </w:tc>
        <w:tc>
          <w:tcPr>
            <w:tcW w:type="dxa" w:w="2000"/>
            <w:tcBorders>
              <w:top w:val="single" w:color="8EA9C1" w:sz="4"/>
              <w:left w:val="single" w:color="8EA9C1" w:sz="4"/>
              <w:bottom w:val="single" w:color="8EA9C1" w:sz="4"/>
              <w:right w:val="single" w:color="8EA9C1" w:sz="4"/>
            </w:tcBorders>
            <w:shd w:fill="FFF4E0" w:color="auto" w:val="clear"/>
            <w:tcMar>
              <w:top w:type="dxa" w:w="60"/>
              <w:left w:type="dxa" w:w="90"/>
              <w:bottom w:type="dxa" w:w="60"/>
              <w:right w:type="dxa" w:w="90"/>
            </w:tcMar>
            <w:vAlign w:val="center"/>
          </w:tcPr>
          <w:p>
            <w:pPr>
              <w:spacing w:after="0"/>
            </w:pPr>
            <w:r>
              <w:rPr>
                <w:rFonts w:ascii="Calibri" w:cs="Calibri" w:eastAsia="Calibri" w:hAnsi="Calibri"/>
                <w:sz w:val="18"/>
                <w:szCs w:val="18"/>
              </w:rPr>
              <w:t xml:space="preserve">Trimestrielle · proposé</w:t>
            </w:r>
          </w:p>
        </w:tc>
      </w:tr>
      <w:tr>
        <w:trPr>
          <w:cantSplit/>
        </w:trPr>
        <w:tc>
          <w:tcPr>
            <w:vMerge w:val="continue"/>
            <w:tcBorders>
              <w:top w:val="single" w:color="8EA9C1" w:sz="4"/>
              <w:left w:val="single" w:color="8EA9C1" w:sz="4"/>
              <w:bottom w:val="single" w:color="8EA9C1" w:sz="4"/>
              <w:right w:val="single" w:color="8EA9C1" w:sz="4"/>
            </w:tcBorders>
          </w:tcPr>
          <w:p/>
        </w:tc>
        <w:tc>
          <w:tcPr>
            <w:vMerge w:val="continue"/>
            <w:tcBorders>
              <w:top w:val="single" w:color="8EA9C1" w:sz="4"/>
              <w:left w:val="single" w:color="8EA9C1" w:sz="4"/>
              <w:bottom w:val="single" w:color="8EA9C1" w:sz="4"/>
              <w:right w:val="single" w:color="8EA9C1" w:sz="4"/>
            </w:tcBorders>
          </w:tcPr>
          <w:p/>
        </w:tc>
        <w:tc>
          <w:tcPr>
            <w:vMerge w:val="continue"/>
            <w:tcBorders>
              <w:top w:val="single" w:color="8EA9C1" w:sz="4"/>
              <w:left w:val="single" w:color="8EA9C1" w:sz="4"/>
              <w:bottom w:val="single" w:color="8EA9C1" w:sz="4"/>
              <w:right w:val="single" w:color="8EA9C1" w:sz="4"/>
            </w:tcBorders>
          </w:tcPr>
          <w:p/>
        </w:tc>
        <w:tc>
          <w:tcPr>
            <w:tcW w:type="dxa" w:w="43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i/>
                <w:iCs/>
                <w:sz w:val="18"/>
                <w:szCs w:val="18"/>
              </w:rPr>
              <w:t xml:space="preserve">B4.4 (proposé) : Usage de l'offre partenaire Alltricks : montants dépensés et remises obtenues par société, profil et mois</w:t>
            </w:r>
          </w:p>
        </w:tc>
        <w:tc>
          <w:tcPr>
            <w:tcW w:type="dxa" w:w="26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Tableau croisé + histogramme</w:t>
            </w:r>
          </w:p>
        </w:tc>
        <w:tc>
          <w:tcPr>
            <w:tcW w:type="dxa" w:w="2000"/>
            <w:tcBorders>
              <w:top w:val="single" w:color="8EA9C1" w:sz="4"/>
              <w:left w:val="single" w:color="8EA9C1" w:sz="4"/>
              <w:bottom w:val="single" w:color="8EA9C1" w:sz="4"/>
              <w:right w:val="single" w:color="8EA9C1" w:sz="4"/>
            </w:tcBorders>
            <w:shd w:fill="FFF4E0" w:color="auto" w:val="clear"/>
            <w:tcMar>
              <w:top w:type="dxa" w:w="60"/>
              <w:left w:type="dxa" w:w="90"/>
              <w:bottom w:type="dxa" w:w="60"/>
              <w:right w:type="dxa" w:w="90"/>
            </w:tcMar>
            <w:vAlign w:val="center"/>
          </w:tcPr>
          <w:p>
            <w:pPr>
              <w:spacing w:after="0"/>
            </w:pPr>
            <w:r>
              <w:rPr>
                <w:rFonts w:ascii="Calibri" w:cs="Calibri" w:eastAsia="Calibri" w:hAnsi="Calibri"/>
                <w:sz w:val="18"/>
                <w:szCs w:val="18"/>
              </w:rPr>
              <w:t xml:space="preserve">Mensuelle · proposé</w:t>
            </w:r>
          </w:p>
        </w:tc>
      </w:tr>
    </w:tbl>
    <w:p>
      <w:pPr>
        <w:spacing w:after="60"/>
      </w:pPr>
      <w:r>
        <w:rPr>
          <w:rFonts w:ascii="Calibri" w:cs="Calibri" w:eastAsia="Calibri" w:hAnsi="Calibri"/>
          <w:sz w:val="21"/>
          <w:szCs w:val="21"/>
        </w:rPr>
        <w:t xml:space="preserve"/>
      </w:r>
    </w:p>
    <w:p>
      <w:pPr>
        <w:spacing w:after="120"/>
      </w:pPr>
      <w:r>
        <w:rPr>
          <w:rFonts w:ascii="Calibri" w:cs="Calibri" w:eastAsia="Calibri" w:hAnsi="Calibri"/>
          <w:i/>
          <w:iCs/>
          <w:color w:val="595959"/>
          <w:sz w:val="18"/>
          <w:szCs w:val="18"/>
        </w:rPr>
        <w:t xml:space="preserve">Les lignes en italique sur fond orangé sont des propositions de l'équipe, à valider avec les responsables des ventes.</w:t>
      </w:r>
    </w:p>
    <w:p>
      <w:pPr>
        <w:pStyle w:val="Heading2"/>
      </w:pPr>
      <w:r>
        <w:t xml:space="preserve">Contraintes non fonctionnelles</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900"/>
        <w:gridCol w:w="4200"/>
        <w:gridCol w:w="9300"/>
      </w:tblGrid>
      <w:tr>
        <w:trPr>
          <w:cantSplit/>
          <w:tblHeader/>
        </w:trPr>
        <w:tc>
          <w:tcPr>
            <w:tcW w:type="dxa" w:w="900"/>
            <w:tcBorders>
              <w:top w:val="single" w:color="8EA9C1" w:sz="4"/>
              <w:left w:val="single" w:color="8EA9C1" w:sz="4"/>
              <w:bottom w:val="single" w:color="8EA9C1" w:sz="4"/>
              <w:right w:val="single" w:color="8EA9C1" w:sz="4"/>
            </w:tcBorders>
            <w:shd w:fill="1F4E79" w:color="auto" w:val="clear"/>
            <w:tcMar>
              <w:top w:type="dxa" w:w="60"/>
              <w:left w:type="dxa" w:w="90"/>
              <w:bottom w:type="dxa" w:w="60"/>
              <w:right w:type="dxa" w:w="90"/>
            </w:tcMar>
            <w:vAlign w:val="center"/>
          </w:tcPr>
          <w:p>
            <w:pPr>
              <w:spacing w:after="0"/>
              <w:jc w:val="center"/>
            </w:pPr>
            <w:r>
              <w:rPr>
                <w:rFonts w:ascii="Calibri" w:cs="Calibri" w:eastAsia="Calibri" w:hAnsi="Calibri"/>
                <w:b/>
                <w:bCs/>
                <w:color w:val="FFFFFF"/>
                <w:sz w:val="18"/>
                <w:szCs w:val="18"/>
              </w:rPr>
              <w:t xml:space="preserve">Réf.</w:t>
            </w:r>
          </w:p>
        </w:tc>
        <w:tc>
          <w:tcPr>
            <w:tcW w:type="dxa" w:w="4200"/>
            <w:tcBorders>
              <w:top w:val="single" w:color="8EA9C1" w:sz="4"/>
              <w:left w:val="single" w:color="8EA9C1" w:sz="4"/>
              <w:bottom w:val="single" w:color="8EA9C1" w:sz="4"/>
              <w:right w:val="single" w:color="8EA9C1" w:sz="4"/>
            </w:tcBorders>
            <w:shd w:fill="1F4E79" w:color="auto" w:val="clear"/>
            <w:tcMar>
              <w:top w:type="dxa" w:w="60"/>
              <w:left w:type="dxa" w:w="90"/>
              <w:bottom w:type="dxa" w:w="60"/>
              <w:right w:type="dxa" w:w="90"/>
            </w:tcMar>
            <w:vAlign w:val="center"/>
          </w:tcPr>
          <w:p>
            <w:pPr>
              <w:spacing w:after="0"/>
            </w:pPr>
            <w:r>
              <w:rPr>
                <w:rFonts w:ascii="Calibri" w:cs="Calibri" w:eastAsia="Calibri" w:hAnsi="Calibri"/>
                <w:b/>
                <w:bCs/>
                <w:color w:val="FFFFFF"/>
                <w:sz w:val="18"/>
                <w:szCs w:val="18"/>
              </w:rPr>
              <w:t xml:space="preserve">Contrainte</w:t>
            </w:r>
          </w:p>
        </w:tc>
        <w:tc>
          <w:tcPr>
            <w:tcW w:type="dxa" w:w="9300"/>
            <w:tcBorders>
              <w:top w:val="single" w:color="8EA9C1" w:sz="4"/>
              <w:left w:val="single" w:color="8EA9C1" w:sz="4"/>
              <w:bottom w:val="single" w:color="8EA9C1" w:sz="4"/>
              <w:right w:val="single" w:color="8EA9C1" w:sz="4"/>
            </w:tcBorders>
            <w:shd w:fill="1F4E79" w:color="auto" w:val="clear"/>
            <w:tcMar>
              <w:top w:type="dxa" w:w="60"/>
              <w:left w:type="dxa" w:w="90"/>
              <w:bottom w:type="dxa" w:w="60"/>
              <w:right w:type="dxa" w:w="90"/>
            </w:tcMar>
            <w:vAlign w:val="center"/>
          </w:tcPr>
          <w:p>
            <w:pPr>
              <w:spacing w:after="0"/>
            </w:pPr>
            <w:r>
              <w:rPr>
                <w:rFonts w:ascii="Calibri" w:cs="Calibri" w:eastAsia="Calibri" w:hAnsi="Calibri"/>
                <w:b/>
                <w:bCs/>
                <w:color w:val="FFFFFF"/>
                <w:sz w:val="18"/>
                <w:szCs w:val="18"/>
              </w:rPr>
              <w:t xml:space="preserve">Conséquence pour la conception</w:t>
            </w:r>
          </w:p>
        </w:tc>
      </w:tr>
      <w:tr>
        <w:trPr>
          <w:cantSplit/>
        </w:trPr>
        <w:tc>
          <w:tcPr>
            <w:tcW w:type="dxa" w:w="900"/>
            <w:tcBorders>
              <w:top w:val="single" w:color="8EA9C1" w:sz="4"/>
              <w:left w:val="single" w:color="8EA9C1" w:sz="4"/>
              <w:bottom w:val="single" w:color="8EA9C1" w:sz="4"/>
              <w:right w:val="single" w:color="8EA9C1" w:sz="4"/>
            </w:tcBorders>
            <w:shd w:fill="DCE6F1" w:color="auto" w:val="clear"/>
            <w:tcMar>
              <w:top w:type="dxa" w:w="60"/>
              <w:left w:type="dxa" w:w="90"/>
              <w:bottom w:type="dxa" w:w="60"/>
              <w:right w:type="dxa" w:w="90"/>
            </w:tcMar>
            <w:vAlign w:val="center"/>
          </w:tcPr>
          <w:p>
            <w:pPr>
              <w:spacing w:after="0"/>
              <w:jc w:val="center"/>
            </w:pPr>
            <w:r>
              <w:rPr>
                <w:rFonts w:ascii="Calibri" w:cs="Calibri" w:eastAsia="Calibri" w:hAnsi="Calibri"/>
                <w:b/>
                <w:bCs/>
                <w:sz w:val="18"/>
                <w:szCs w:val="18"/>
              </w:rPr>
              <w:t xml:space="preserve">C1</w:t>
            </w:r>
          </w:p>
        </w:tc>
        <w:tc>
          <w:tcPr>
            <w:tcW w:type="dxa" w:w="42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Temps de réponse extrêmement rapides (B1)</w:t>
            </w:r>
          </w:p>
        </w:tc>
        <w:tc>
          <w:tcPr>
            <w:tcW w:type="dxa" w:w="93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Données agrégées précalculées (vues matérialisées par mois et par semaine) dans le magasin Locations.</w:t>
            </w:r>
          </w:p>
        </w:tc>
      </w:tr>
      <w:tr>
        <w:trPr>
          <w:cantSplit/>
        </w:trPr>
        <w:tc>
          <w:tcPr>
            <w:tcW w:type="dxa" w:w="900"/>
            <w:tcBorders>
              <w:top w:val="single" w:color="8EA9C1" w:sz="4"/>
              <w:left w:val="single" w:color="8EA9C1" w:sz="4"/>
              <w:bottom w:val="single" w:color="8EA9C1" w:sz="4"/>
              <w:right w:val="single" w:color="8EA9C1" w:sz="4"/>
            </w:tcBorders>
            <w:shd w:fill="DCE6F1" w:color="auto" w:val="clear"/>
            <w:tcMar>
              <w:top w:type="dxa" w:w="60"/>
              <w:left w:type="dxa" w:w="90"/>
              <w:bottom w:type="dxa" w:w="60"/>
              <w:right w:type="dxa" w:w="90"/>
            </w:tcMar>
            <w:vAlign w:val="center"/>
          </w:tcPr>
          <w:p>
            <w:pPr>
              <w:spacing w:after="0"/>
              <w:jc w:val="center"/>
            </w:pPr>
            <w:r>
              <w:rPr>
                <w:rFonts w:ascii="Calibri" w:cs="Calibri" w:eastAsia="Calibri" w:hAnsi="Calibri"/>
                <w:b/>
                <w:bCs/>
                <w:sz w:val="18"/>
                <w:szCs w:val="18"/>
              </w:rPr>
              <w:t xml:space="preserve">C2</w:t>
            </w:r>
          </w:p>
        </w:tc>
        <w:tc>
          <w:tcPr>
            <w:tcW w:type="dxa" w:w="42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Aucune connaissance d'un langage de requêtes</w:t>
            </w:r>
          </w:p>
        </w:tc>
        <w:tc>
          <w:tcPr>
            <w:tcW w:type="dxa" w:w="93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Restitutions dans un outil de reporting (rapports prêts à l'emploi et navigation par clics) ; guide utilisateur pour chaque décideur.</w:t>
            </w:r>
          </w:p>
        </w:tc>
      </w:tr>
      <w:tr>
        <w:trPr>
          <w:cantSplit/>
        </w:trPr>
        <w:tc>
          <w:tcPr>
            <w:tcW w:type="dxa" w:w="900"/>
            <w:tcBorders>
              <w:top w:val="single" w:color="8EA9C1" w:sz="4"/>
              <w:left w:val="single" w:color="8EA9C1" w:sz="4"/>
              <w:bottom w:val="single" w:color="8EA9C1" w:sz="4"/>
              <w:right w:val="single" w:color="8EA9C1" w:sz="4"/>
            </w:tcBorders>
            <w:shd w:fill="DCE6F1" w:color="auto" w:val="clear"/>
            <w:tcMar>
              <w:top w:type="dxa" w:w="60"/>
              <w:left w:type="dxa" w:w="90"/>
              <w:bottom w:type="dxa" w:w="60"/>
              <w:right w:type="dxa" w:w="90"/>
            </w:tcMar>
            <w:vAlign w:val="center"/>
          </w:tcPr>
          <w:p>
            <w:pPr>
              <w:spacing w:after="0"/>
              <w:jc w:val="center"/>
            </w:pPr>
            <w:r>
              <w:rPr>
                <w:rFonts w:ascii="Calibri" w:cs="Calibri" w:eastAsia="Calibri" w:hAnsi="Calibri"/>
                <w:b/>
                <w:bCs/>
                <w:sz w:val="18"/>
                <w:szCs w:val="18"/>
              </w:rPr>
              <w:t xml:space="preserve">C3</w:t>
            </w:r>
          </w:p>
        </w:tc>
        <w:tc>
          <w:tcPr>
            <w:tcW w:type="dxa" w:w="42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Chaque responsable des ventes ne voit que son pays</w:t>
            </w:r>
          </w:p>
        </w:tc>
        <w:tc>
          <w:tcPr>
            <w:tcW w:type="dxa" w:w="93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Filtrage par pays (sécurité au niveau des lignes ou un rapport par pays).</w:t>
            </w:r>
          </w:p>
        </w:tc>
      </w:tr>
      <w:tr>
        <w:trPr>
          <w:cantSplit/>
        </w:trPr>
        <w:tc>
          <w:tcPr>
            <w:tcW w:type="dxa" w:w="900"/>
            <w:tcBorders>
              <w:top w:val="single" w:color="8EA9C1" w:sz="4"/>
              <w:left w:val="single" w:color="8EA9C1" w:sz="4"/>
              <w:bottom w:val="single" w:color="8EA9C1" w:sz="4"/>
              <w:right w:val="single" w:color="8EA9C1" w:sz="4"/>
            </w:tcBorders>
            <w:shd w:fill="DCE6F1" w:color="auto" w:val="clear"/>
            <w:tcMar>
              <w:top w:type="dxa" w:w="60"/>
              <w:left w:type="dxa" w:w="90"/>
              <w:bottom w:type="dxa" w:w="60"/>
              <w:right w:type="dxa" w:w="90"/>
            </w:tcMar>
            <w:vAlign w:val="center"/>
          </w:tcPr>
          <w:p>
            <w:pPr>
              <w:spacing w:after="0"/>
              <w:jc w:val="center"/>
            </w:pPr>
            <w:r>
              <w:rPr>
                <w:rFonts w:ascii="Calibri" w:cs="Calibri" w:eastAsia="Calibri" w:hAnsi="Calibri"/>
                <w:b/>
                <w:bCs/>
                <w:sz w:val="18"/>
                <w:szCs w:val="18"/>
              </w:rPr>
              <w:t xml:space="preserve">C4</w:t>
            </w:r>
          </w:p>
        </w:tc>
        <w:tc>
          <w:tcPr>
            <w:tcW w:type="dxa" w:w="42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Tarifs propres à chaque pays et à une période ; France en TTC (20 %), Allemagne en HT (19 %)</w:t>
            </w:r>
          </w:p>
        </w:tc>
        <w:tc>
          <w:tcPr>
            <w:tcW w:type="dxa" w:w="93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Montants ramenés à une base commune, HT (validé par le client le 13/10), et calculés avec le tarif valable à la date de l'opération. Le décideur doit pouvoir choisir un affichage TTC (demande du client le 14/10) : TTC = HT × (1 + taux de TVA du pays).</w:t>
            </w:r>
          </w:p>
        </w:tc>
      </w:tr>
      <w:tr>
        <w:trPr>
          <w:cantSplit/>
        </w:trPr>
        <w:tc>
          <w:tcPr>
            <w:tcW w:type="dxa" w:w="900"/>
            <w:tcBorders>
              <w:top w:val="single" w:color="8EA9C1" w:sz="4"/>
              <w:left w:val="single" w:color="8EA9C1" w:sz="4"/>
              <w:bottom w:val="single" w:color="8EA9C1" w:sz="4"/>
              <w:right w:val="single" w:color="8EA9C1" w:sz="4"/>
            </w:tcBorders>
            <w:shd w:fill="DCE6F1" w:color="auto" w:val="clear"/>
            <w:tcMar>
              <w:top w:type="dxa" w:w="60"/>
              <w:left w:type="dxa" w:w="90"/>
              <w:bottom w:type="dxa" w:w="60"/>
              <w:right w:type="dxa" w:w="90"/>
            </w:tcMar>
            <w:vAlign w:val="center"/>
          </w:tcPr>
          <w:p>
            <w:pPr>
              <w:spacing w:after="0"/>
              <w:jc w:val="center"/>
            </w:pPr>
            <w:r>
              <w:rPr>
                <w:rFonts w:ascii="Calibri" w:cs="Calibri" w:eastAsia="Calibri" w:hAnsi="Calibri"/>
                <w:b/>
                <w:bCs/>
                <w:sz w:val="18"/>
                <w:szCs w:val="18"/>
              </w:rPr>
              <w:t xml:space="preserve">C5</w:t>
            </w:r>
          </w:p>
        </w:tc>
        <w:tc>
          <w:tcPr>
            <w:tcW w:type="dxa" w:w="42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Le portail RH alimente l'ED une fois par mois ; l'historique des métiers doit être conservé</w:t>
            </w:r>
          </w:p>
        </w:tc>
        <w:tc>
          <w:tcPr>
            <w:tcW w:type="dxa" w:w="93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Historisation du métier des salariés (dimension à évolution lente de type 2).</w:t>
            </w:r>
          </w:p>
        </w:tc>
      </w:tr>
      <w:tr>
        <w:trPr>
          <w:cantSplit/>
        </w:trPr>
        <w:tc>
          <w:tcPr>
            <w:tcW w:type="dxa" w:w="900"/>
            <w:tcBorders>
              <w:top w:val="single" w:color="8EA9C1" w:sz="4"/>
              <w:left w:val="single" w:color="8EA9C1" w:sz="4"/>
              <w:bottom w:val="single" w:color="8EA9C1" w:sz="4"/>
              <w:right w:val="single" w:color="8EA9C1" w:sz="4"/>
            </w:tcBorders>
            <w:shd w:fill="DCE6F1" w:color="auto" w:val="clear"/>
            <w:tcMar>
              <w:top w:type="dxa" w:w="60"/>
              <w:left w:type="dxa" w:w="90"/>
              <w:bottom w:type="dxa" w:w="60"/>
              <w:right w:type="dxa" w:w="90"/>
            </w:tcMar>
            <w:vAlign w:val="center"/>
          </w:tcPr>
          <w:p>
            <w:pPr>
              <w:spacing w:after="0"/>
              <w:jc w:val="center"/>
            </w:pPr>
            <w:r>
              <w:rPr>
                <w:rFonts w:ascii="Calibri" w:cs="Calibri" w:eastAsia="Calibri" w:hAnsi="Calibri"/>
                <w:b/>
                <w:bCs/>
                <w:sz w:val="18"/>
                <w:szCs w:val="18"/>
              </w:rPr>
              <w:t xml:space="preserve">C5b</w:t>
            </w:r>
          </w:p>
        </w:tc>
        <w:tc>
          <w:tcPr>
            <w:tcW w:type="dxa" w:w="42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Les employés peuvent changer de service (question laissée à notre appréciation le 14/10)</w:t>
            </w:r>
          </w:p>
        </w:tc>
        <w:tc>
          <w:tcPr>
            <w:tcW w:type="dxa" w:w="93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Historisation des affectations aux services : chaque opération est rattachée au service de l'employé à sa date.</w:t>
            </w:r>
          </w:p>
        </w:tc>
      </w:tr>
      <w:tr>
        <w:trPr>
          <w:cantSplit/>
        </w:trPr>
        <w:tc>
          <w:tcPr>
            <w:tcW w:type="dxa" w:w="900"/>
            <w:tcBorders>
              <w:top w:val="single" w:color="8EA9C1" w:sz="4"/>
              <w:left w:val="single" w:color="8EA9C1" w:sz="4"/>
              <w:bottom w:val="single" w:color="8EA9C1" w:sz="4"/>
              <w:right w:val="single" w:color="8EA9C1" w:sz="4"/>
            </w:tcBorders>
            <w:shd w:fill="DCE6F1" w:color="auto" w:val="clear"/>
            <w:tcMar>
              <w:top w:type="dxa" w:w="60"/>
              <w:left w:type="dxa" w:w="90"/>
              <w:bottom w:type="dxa" w:w="60"/>
              <w:right w:type="dxa" w:w="90"/>
            </w:tcMar>
            <w:vAlign w:val="center"/>
          </w:tcPr>
          <w:p>
            <w:pPr>
              <w:spacing w:after="0"/>
              <w:jc w:val="center"/>
            </w:pPr>
            <w:r>
              <w:rPr>
                <w:rFonts w:ascii="Calibri" w:cs="Calibri" w:eastAsia="Calibri" w:hAnsi="Calibri"/>
                <w:b/>
                <w:bCs/>
                <w:sz w:val="18"/>
                <w:szCs w:val="18"/>
              </w:rPr>
              <w:t xml:space="preserve">C6</w:t>
            </w:r>
          </w:p>
        </w:tc>
        <w:tc>
          <w:tcPr>
            <w:tcW w:type="dxa" w:w="42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Géographie hétérogène : région/département en France, Land/district/arrondissement/commune en Allemagne</w:t>
            </w:r>
          </w:p>
        </w:tc>
        <w:tc>
          <w:tcPr>
            <w:tcW w:type="dxa" w:w="93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Hiérarchie géographique non homogène sur la dimension Société (niveaux optionnels selon le pays). Côté allemand, les niveaux sont déduits du code AGS de la commune (Destatis).</w:t>
            </w:r>
          </w:p>
        </w:tc>
      </w:tr>
      <w:tr>
        <w:trPr>
          <w:cantSplit/>
        </w:trPr>
        <w:tc>
          <w:tcPr>
            <w:tcW w:type="dxa" w:w="900"/>
            <w:tcBorders>
              <w:top w:val="single" w:color="8EA9C1" w:sz="4"/>
              <w:left w:val="single" w:color="8EA9C1" w:sz="4"/>
              <w:bottom w:val="single" w:color="8EA9C1" w:sz="4"/>
              <w:right w:val="single" w:color="8EA9C1" w:sz="4"/>
            </w:tcBorders>
            <w:shd w:fill="DCE6F1" w:color="auto" w:val="clear"/>
            <w:tcMar>
              <w:top w:type="dxa" w:w="60"/>
              <w:left w:type="dxa" w:w="90"/>
              <w:bottom w:type="dxa" w:w="60"/>
              <w:right w:type="dxa" w:w="90"/>
            </w:tcMar>
            <w:vAlign w:val="center"/>
          </w:tcPr>
          <w:p>
            <w:pPr>
              <w:spacing w:after="0"/>
              <w:jc w:val="center"/>
            </w:pPr>
            <w:r>
              <w:rPr>
                <w:rFonts w:ascii="Calibri" w:cs="Calibri" w:eastAsia="Calibri" w:hAnsi="Calibri"/>
                <w:b/>
                <w:bCs/>
                <w:sz w:val="18"/>
                <w:szCs w:val="18"/>
              </w:rPr>
              <w:t xml:space="preserve">C7</w:t>
            </w:r>
          </w:p>
        </w:tc>
        <w:tc>
          <w:tcPr>
            <w:tcW w:type="dxa" w:w="42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Analyses par semaine et par mois</w:t>
            </w:r>
          </w:p>
        </w:tc>
        <w:tc>
          <w:tcPr>
            <w:tcW w:type="dxa" w:w="93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Deux hiérarchies distinctes sur la dimension Temps (jour → semaine et jour → mois → année).</w:t>
            </w:r>
          </w:p>
        </w:tc>
      </w:tr>
    </w:tbl>
    <w:p>
      <w:pPr>
        <w:pStyle w:val="Heading2"/>
      </w:pPr>
      <w:r>
        <w:t xml:space="preserve">Réponses du client (entretien du 13/10)</w:t>
      </w:r>
    </w:p>
    <w:p>
      <w:pPr>
        <w:spacing w:after="120"/>
      </w:pPr>
      <w:r>
        <w:rPr>
          <w:rFonts w:ascii="Calibri" w:cs="Calibri" w:eastAsia="Calibri" w:hAnsi="Calibri"/>
          <w:sz w:val="21"/>
          <w:szCs w:val="21"/>
        </w:rPr>
        <w:t xml:space="preserve">Nous avons soumis nos questions de cadrage au client. Ses réponses et leurs conséquences sur la conception sont résumées ci-dessous.</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3600"/>
        <w:gridCol w:w="4400"/>
        <w:gridCol w:w="6400"/>
      </w:tblGrid>
      <w:tr>
        <w:trPr>
          <w:tblHeader/>
        </w:trPr>
        <w:tc>
          <w:tcPr>
            <w:tcW w:type="dxa" w:w="3600"/>
            <w:tcBorders>
              <w:top w:val="single" w:color="8EA9C1" w:sz="4"/>
              <w:left w:val="single" w:color="8EA9C1" w:sz="4"/>
              <w:bottom w:val="single" w:color="8EA9C1" w:sz="4"/>
              <w:right w:val="single" w:color="8EA9C1" w:sz="4"/>
            </w:tcBorders>
            <w:shd w:fill="1F4E79" w:color="auto" w:val="clear"/>
            <w:tcMar>
              <w:top w:type="dxa" w:w="60"/>
              <w:left w:type="dxa" w:w="90"/>
              <w:bottom w:type="dxa" w:w="60"/>
              <w:right w:type="dxa" w:w="90"/>
            </w:tcMar>
            <w:vAlign w:val="center"/>
          </w:tcPr>
          <w:p>
            <w:pPr>
              <w:spacing w:after="0"/>
              <w:jc w:val="center"/>
            </w:pPr>
            <w:r>
              <w:rPr>
                <w:rFonts w:ascii="Calibri" w:cs="Calibri" w:eastAsia="Calibri" w:hAnsi="Calibri"/>
                <w:b/>
                <w:bCs/>
                <w:color w:val="FFFFFF"/>
                <w:sz w:val="18"/>
                <w:szCs w:val="18"/>
              </w:rPr>
              <w:t xml:space="preserve">Question posée</w:t>
            </w:r>
          </w:p>
        </w:tc>
        <w:tc>
          <w:tcPr>
            <w:tcW w:type="dxa" w:w="4400"/>
            <w:tcBorders>
              <w:top w:val="single" w:color="8EA9C1" w:sz="4"/>
              <w:left w:val="single" w:color="8EA9C1" w:sz="4"/>
              <w:bottom w:val="single" w:color="8EA9C1" w:sz="4"/>
              <w:right w:val="single" w:color="8EA9C1" w:sz="4"/>
            </w:tcBorders>
            <w:shd w:fill="1F4E79" w:color="auto" w:val="clear"/>
            <w:tcMar>
              <w:top w:type="dxa" w:w="60"/>
              <w:left w:type="dxa" w:w="90"/>
              <w:bottom w:type="dxa" w:w="60"/>
              <w:right w:type="dxa" w:w="90"/>
            </w:tcMar>
            <w:vAlign w:val="center"/>
          </w:tcPr>
          <w:p>
            <w:pPr>
              <w:spacing w:after="0"/>
              <w:jc w:val="center"/>
            </w:pPr>
            <w:r>
              <w:rPr>
                <w:rFonts w:ascii="Calibri" w:cs="Calibri" w:eastAsia="Calibri" w:hAnsi="Calibri"/>
                <w:b/>
                <w:bCs/>
                <w:color w:val="FFFFFF"/>
                <w:sz w:val="18"/>
                <w:szCs w:val="18"/>
              </w:rPr>
              <w:t xml:space="preserve">Réponse du client</w:t>
            </w:r>
          </w:p>
        </w:tc>
        <w:tc>
          <w:tcPr>
            <w:tcW w:type="dxa" w:w="6400"/>
            <w:tcBorders>
              <w:top w:val="single" w:color="8EA9C1" w:sz="4"/>
              <w:left w:val="single" w:color="8EA9C1" w:sz="4"/>
              <w:bottom w:val="single" w:color="8EA9C1" w:sz="4"/>
              <w:right w:val="single" w:color="8EA9C1" w:sz="4"/>
            </w:tcBorders>
            <w:shd w:fill="1F4E79" w:color="auto" w:val="clear"/>
            <w:tcMar>
              <w:top w:type="dxa" w:w="60"/>
              <w:left w:type="dxa" w:w="90"/>
              <w:bottom w:type="dxa" w:w="60"/>
              <w:right w:type="dxa" w:w="90"/>
            </w:tcMar>
            <w:vAlign w:val="center"/>
          </w:tcPr>
          <w:p>
            <w:pPr>
              <w:spacing w:after="0"/>
              <w:jc w:val="center"/>
            </w:pPr>
            <w:r>
              <w:rPr>
                <w:rFonts w:ascii="Calibri" w:cs="Calibri" w:eastAsia="Calibri" w:hAnsi="Calibri"/>
                <w:b/>
                <w:bCs/>
                <w:color w:val="FFFFFF"/>
                <w:sz w:val="18"/>
                <w:szCs w:val="18"/>
              </w:rPr>
              <w:t xml:space="preserve">Conséquence sur la conception</w:t>
            </w:r>
          </w:p>
        </w:tc>
      </w:tr>
      <w:tr>
        <w:trPr>
          <w:cantSplit/>
        </w:trPr>
        <w:tc>
          <w:tcPr>
            <w:tcW w:type="dxa" w:w="3600"/>
            <w:tcBorders>
              <w:top w:val="single" w:color="8EA9C1" w:sz="4"/>
              <w:left w:val="single" w:color="8EA9C1" w:sz="4"/>
              <w:bottom w:val="single" w:color="8EA9C1" w:sz="4"/>
              <w:right w:val="single" w:color="8EA9C1" w:sz="4"/>
            </w:tcBorders>
            <w:shd w:fill="F2F6FA" w:color="auto" w:val="clear"/>
            <w:tcMar>
              <w:top w:type="dxa" w:w="60"/>
              <w:left w:type="dxa" w:w="90"/>
              <w:bottom w:type="dxa" w:w="60"/>
              <w:right w:type="dxa" w:w="90"/>
            </w:tcMar>
            <w:vAlign w:val="center"/>
          </w:tcPr>
          <w:p>
            <w:pPr>
              <w:spacing w:after="0"/>
            </w:pPr>
            <w:r>
              <w:rPr>
                <w:rFonts w:ascii="Calibri" w:cs="Calibri" w:eastAsia="Calibri" w:hAnsi="Calibri"/>
                <w:b/>
                <w:bCs/>
                <w:sz w:val="18"/>
                <w:szCs w:val="18"/>
              </w:rPr>
              <w:t xml:space="preserve">Correspondance entre (matricule RH, SIRET) et le code employé de l'ED ?</w:t>
            </w:r>
          </w:p>
        </w:tc>
        <w:tc>
          <w:tcPr>
            <w:tcW w:type="dxa" w:w="44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Pas de table fournie : « j'attends que vous proposiez une solution, avec des vérifications ».</w:t>
            </w:r>
          </w:p>
        </w:tc>
        <w:tc>
          <w:tcPr>
            <w:tcW w:type="dxa" w:w="64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Table de correspondance construite dans la DSA par rapprochement (nom, prénom, société, date de naissance), avec contrôles (doublons, non rapprochés, cas ambigus). Voir « Correspondance des employés ».</w:t>
            </w:r>
          </w:p>
        </w:tc>
      </w:tr>
      <w:tr>
        <w:trPr>
          <w:cantSplit/>
        </w:trPr>
        <w:tc>
          <w:tcPr>
            <w:tcW w:type="dxa" w:w="3600"/>
            <w:tcBorders>
              <w:top w:val="single" w:color="8EA9C1" w:sz="4"/>
              <w:left w:val="single" w:color="8EA9C1" w:sz="4"/>
              <w:bottom w:val="single" w:color="8EA9C1" w:sz="4"/>
              <w:right w:val="single" w:color="8EA9C1" w:sz="4"/>
            </w:tcBorders>
            <w:shd w:fill="F2F6FA" w:color="auto" w:val="clear"/>
            <w:tcMar>
              <w:top w:type="dxa" w:w="60"/>
              <w:left w:type="dxa" w:w="90"/>
              <w:bottom w:type="dxa" w:w="60"/>
              <w:right w:type="dxa" w:w="90"/>
            </w:tcMar>
            <w:vAlign w:val="center"/>
          </w:tcPr>
          <w:p>
            <w:pPr>
              <w:spacing w:after="0"/>
            </w:pPr>
            <w:r>
              <w:rPr>
                <w:rFonts w:ascii="Calibri" w:cs="Calibri" w:eastAsia="Calibri" w:hAnsi="Calibri"/>
                <w:b/>
                <w:bCs/>
                <w:sz w:val="18"/>
                <w:szCs w:val="18"/>
              </w:rPr>
              <w:t xml:space="preserve">Les salariés allemands ont-ils un profil de trajet ?</w:t>
            </w:r>
          </w:p>
        </w:tc>
        <w:tc>
          <w:tcPr>
            <w:tcW w:type="dxa" w:w="44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Oui : le profil est commun aux deux pays, car il détermine la réduction.</w:t>
            </w:r>
          </w:p>
        </w:tc>
        <w:tc>
          <w:tcPr>
            <w:tcW w:type="dxa" w:w="64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EMPLOYE → CATEGORIE obligatoire pour tous les employés, quel que soit le pays.</w:t>
            </w:r>
          </w:p>
        </w:tc>
      </w:tr>
      <w:tr>
        <w:trPr>
          <w:cantSplit/>
        </w:trPr>
        <w:tc>
          <w:tcPr>
            <w:tcW w:type="dxa" w:w="3600"/>
            <w:tcBorders>
              <w:top w:val="single" w:color="8EA9C1" w:sz="4"/>
              <w:left w:val="single" w:color="8EA9C1" w:sz="4"/>
              <w:bottom w:val="single" w:color="8EA9C1" w:sz="4"/>
              <w:right w:val="single" w:color="8EA9C1" w:sz="4"/>
            </w:tcBorders>
            <w:shd w:fill="F2F6FA" w:color="auto" w:val="clear"/>
            <w:tcMar>
              <w:top w:type="dxa" w:w="60"/>
              <w:left w:type="dxa" w:w="90"/>
              <w:bottom w:type="dxa" w:w="60"/>
              <w:right w:type="dxa" w:w="90"/>
            </w:tcMar>
            <w:vAlign w:val="center"/>
          </w:tcPr>
          <w:p>
            <w:pPr>
              <w:spacing w:after="0"/>
            </w:pPr>
            <w:r>
              <w:rPr>
                <w:rFonts w:ascii="Calibri" w:cs="Calibri" w:eastAsia="Calibri" w:hAnsi="Calibri"/>
                <w:b/>
                <w:bCs/>
                <w:sz w:val="18"/>
                <w:szCs w:val="18"/>
              </w:rPr>
              <w:t xml:space="preserve">Ramener les montants à une base commune HT ou TTC ?</w:t>
            </w:r>
          </w:p>
        </w:tc>
        <w:tc>
          <w:tcPr>
            <w:tcW w:type="dxa" w:w="44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Oui, « remarque judicieuse ».</w:t>
            </w:r>
          </w:p>
        </w:tc>
        <w:tc>
          <w:tcPr>
            <w:tcW w:type="dxa" w:w="64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Toutes les mesures de montant des magasins sont exprimées en HT (contrainte C4).</w:t>
            </w:r>
          </w:p>
        </w:tc>
      </w:tr>
      <w:tr>
        <w:trPr>
          <w:cantSplit/>
        </w:trPr>
        <w:tc>
          <w:tcPr>
            <w:tcW w:type="dxa" w:w="3600"/>
            <w:tcBorders>
              <w:top w:val="single" w:color="8EA9C1" w:sz="4"/>
              <w:left w:val="single" w:color="8EA9C1" w:sz="4"/>
              <w:bottom w:val="single" w:color="8EA9C1" w:sz="4"/>
              <w:right w:val="single" w:color="8EA9C1" w:sz="4"/>
            </w:tcBorders>
            <w:shd w:fill="F2F6FA" w:color="auto" w:val="clear"/>
            <w:tcMar>
              <w:top w:type="dxa" w:w="60"/>
              <w:left w:type="dxa" w:w="90"/>
              <w:bottom w:type="dxa" w:w="60"/>
              <w:right w:type="dxa" w:w="90"/>
            </w:tcMar>
            <w:vAlign w:val="center"/>
          </w:tcPr>
          <w:p>
            <w:pPr>
              <w:spacing w:after="0"/>
            </w:pPr>
            <w:r>
              <w:rPr>
                <w:rFonts w:ascii="Calibri" w:cs="Calibri" w:eastAsia="Calibri" w:hAnsi="Calibri"/>
                <w:b/>
                <w:bCs/>
                <w:sz w:val="18"/>
                <w:szCs w:val="18"/>
              </w:rPr>
              <w:t xml:space="preserve">Les réductions s'appliquent-elles aux salariés allemands ?</w:t>
            </w:r>
          </w:p>
        </w:tc>
        <w:tc>
          <w:tcPr>
            <w:tcW w:type="dxa" w:w="44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Oui, le fonctionnement est identique : c'est la même société.</w:t>
            </w:r>
          </w:p>
        </w:tc>
        <w:tc>
          <w:tcPr>
            <w:tcW w:type="dxa" w:w="64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La table REDUCTION s'applique à tous les employés, sans distinction de pays.</w:t>
            </w:r>
          </w:p>
        </w:tc>
      </w:tr>
      <w:tr>
        <w:trPr>
          <w:cantSplit/>
        </w:trPr>
        <w:tc>
          <w:tcPr>
            <w:tcW w:type="dxa" w:w="3600"/>
            <w:tcBorders>
              <w:top w:val="single" w:color="8EA9C1" w:sz="4"/>
              <w:left w:val="single" w:color="8EA9C1" w:sz="4"/>
              <w:bottom w:val="single" w:color="8EA9C1" w:sz="4"/>
              <w:right w:val="single" w:color="8EA9C1" w:sz="4"/>
            </w:tcBorders>
            <w:shd w:fill="F2F6FA" w:color="auto" w:val="clear"/>
            <w:tcMar>
              <w:top w:type="dxa" w:w="60"/>
              <w:left w:type="dxa" w:w="90"/>
              <w:bottom w:type="dxa" w:w="60"/>
              <w:right w:type="dxa" w:w="90"/>
            </w:tcMar>
            <w:vAlign w:val="center"/>
          </w:tcPr>
          <w:p>
            <w:pPr>
              <w:spacing w:after="0"/>
            </w:pPr>
            <w:r>
              <w:rPr>
                <w:rFonts w:ascii="Calibri" w:cs="Calibri" w:eastAsia="Calibri" w:hAnsi="Calibri"/>
                <w:b/>
                <w:bCs/>
                <w:sz w:val="18"/>
                <w:szCs w:val="18"/>
              </w:rPr>
              <w:t xml:space="preserve">Les offres Alltricks sont-elles dans le périmètre ?</w:t>
            </w:r>
          </w:p>
        </w:tc>
        <w:tc>
          <w:tcPr>
            <w:tcW w:type="dxa" w:w="44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Question retournée : comment les intégrer (produit comme les autres ou réduction particulière) ? Ces données ne concernent pas les décideurs visés.</w:t>
            </w:r>
          </w:p>
        </w:tc>
        <w:tc>
          <w:tcPr>
            <w:tcW w:type="dxa" w:w="64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Position révisée lors de l'entretien du 14/10 : la source est intégrée au périmètre (voir ci-dessous).</w:t>
            </w:r>
          </w:p>
        </w:tc>
      </w:tr>
      <w:tr>
        <w:trPr>
          <w:cantSplit/>
        </w:trPr>
        <w:tc>
          <w:tcPr>
            <w:tcW w:type="dxa" w:w="3600"/>
            <w:tcBorders>
              <w:top w:val="single" w:color="8EA9C1" w:sz="4"/>
              <w:left w:val="single" w:color="8EA9C1" w:sz="4"/>
              <w:bottom w:val="single" w:color="8EA9C1" w:sz="4"/>
              <w:right w:val="single" w:color="8EA9C1" w:sz="4"/>
            </w:tcBorders>
            <w:shd w:fill="F2F6FA" w:color="auto" w:val="clear"/>
            <w:tcMar>
              <w:top w:type="dxa" w:w="60"/>
              <w:left w:type="dxa" w:w="90"/>
              <w:bottom w:type="dxa" w:w="60"/>
              <w:right w:type="dxa" w:w="90"/>
            </w:tcMar>
            <w:vAlign w:val="center"/>
          </w:tcPr>
          <w:p>
            <w:pPr>
              <w:spacing w:after="0"/>
            </w:pPr>
            <w:r>
              <w:rPr>
                <w:rFonts w:ascii="Calibri" w:cs="Calibri" w:eastAsia="Calibri" w:hAnsi="Calibri"/>
                <w:b/>
                <w:bCs/>
                <w:sz w:val="18"/>
                <w:szCs w:val="18"/>
              </w:rPr>
              <w:t xml:space="preserve">L'ED doit-il s'adapter à l'ajout de nouveaux pays ?</w:t>
            </w:r>
          </w:p>
        </w:tc>
        <w:tc>
          <w:tcPr>
            <w:tcW w:type="dxa" w:w="44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Pas de différence de fonctionnement : chaque pays a sa propre décomposition administrative.</w:t>
            </w:r>
          </w:p>
        </w:tc>
        <w:tc>
          <w:tcPr>
            <w:tcW w:type="dxa" w:w="64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Valide le choix d'une table PAYS et d'une géographie générique réflexive (ZONE_GEO) : un nouveau pays = de nouvelles lignes, pas une nouvelle structure.</w:t>
            </w:r>
          </w:p>
        </w:tc>
      </w:tr>
      <w:tr>
        <w:trPr>
          <w:cantSplit/>
        </w:trPr>
        <w:tc>
          <w:tcPr>
            <w:tcW w:type="dxa" w:w="3600"/>
            <w:tcBorders>
              <w:top w:val="single" w:color="8EA9C1" w:sz="4"/>
              <w:left w:val="single" w:color="8EA9C1" w:sz="4"/>
              <w:bottom w:val="single" w:color="8EA9C1" w:sz="4"/>
              <w:right w:val="single" w:color="8EA9C1" w:sz="4"/>
            </w:tcBorders>
            <w:shd w:fill="F2F6FA" w:color="auto" w:val="clear"/>
            <w:tcMar>
              <w:top w:type="dxa" w:w="60"/>
              <w:left w:type="dxa" w:w="90"/>
              <w:bottom w:type="dxa" w:w="60"/>
              <w:right w:type="dxa" w:w="90"/>
            </w:tcMar>
            <w:vAlign w:val="center"/>
          </w:tcPr>
          <w:p>
            <w:pPr>
              <w:spacing w:after="0"/>
            </w:pPr>
            <w:r>
              <w:rPr>
                <w:rFonts w:ascii="Calibri" w:cs="Calibri" w:eastAsia="Calibri" w:hAnsi="Calibri"/>
                <w:b/>
                <w:bCs/>
                <w:sz w:val="18"/>
                <w:szCs w:val="18"/>
              </w:rPr>
              <w:t xml:space="preserve">Que contiennent les fichiers des sociétés allemandes ?</w:t>
            </w:r>
          </w:p>
        </w:tc>
        <w:tc>
          <w:tcPr>
            <w:tcW w:type="dxa" w:w="44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Un fichier Excel par société : code et nom du salarié, son service et sa société. Seul le métier manque.</w:t>
            </w:r>
          </w:p>
        </w:tc>
        <w:tc>
          <w:tcPr>
            <w:tcW w:type="dxa" w:w="64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Hypothèse S4 confirmée et complétée (ajout du service).</w:t>
            </w:r>
          </w:p>
        </w:tc>
      </w:tr>
    </w:tbl>
    <w:p>
      <w:pPr>
        <w:spacing w:after="60"/>
      </w:pPr>
      <w:r>
        <w:rPr>
          <w:rFonts w:ascii="Calibri" w:cs="Calibri" w:eastAsia="Calibri" w:hAnsi="Calibri"/>
          <w:sz w:val="21"/>
          <w:szCs w:val="21"/>
        </w:rPr>
        <w:t xml:space="preserve"/>
      </w:r>
    </w:p>
    <w:p>
      <w:pPr>
        <w:spacing w:after="120"/>
      </w:pPr>
      <w:r>
        <w:rPr>
          <w:rFonts w:ascii="Calibri" w:cs="Calibri" w:eastAsia="Calibri" w:hAnsi="Calibri"/>
          <w:i/>
          <w:iCs/>
          <w:sz w:val="20"/>
          <w:szCs w:val="20"/>
        </w:rPr>
        <w:t xml:space="preserve">Message général du client : « Votre mission, c'est de faire un POC le plus réaliste possible, qui intègre toutes les spécificités du métier. » Les points non fournis (contenu exact de l'ERP, données de test) font donc l'objet d'hypothèses réalistes et justifiées.</w:t>
      </w:r>
    </w:p>
    <w:p>
      <w:pPr>
        <w:pStyle w:val="Heading2"/>
      </w:pPr>
      <w:r>
        <w:t xml:space="preserve">Réponses du client (entretien du 14/10)</w:t>
      </w:r>
    </w:p>
    <w:p>
      <w:pPr>
        <w:spacing w:after="120"/>
      </w:pPr>
      <w:r>
        <w:rPr>
          <w:rFonts w:ascii="Calibri" w:cs="Calibri" w:eastAsia="Calibri" w:hAnsi="Calibri"/>
          <w:sz w:val="21"/>
          <w:szCs w:val="21"/>
        </w:rPr>
        <w:t xml:space="preserve">Un second entretien a permis de lever les points restés ouverts, notamment sur les données RH allemandes et les offres partenaires.</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3600"/>
        <w:gridCol w:w="4400"/>
        <w:gridCol w:w="6400"/>
      </w:tblGrid>
      <w:tr>
        <w:trPr>
          <w:tblHeader/>
        </w:trPr>
        <w:tc>
          <w:tcPr>
            <w:tcW w:type="dxa" w:w="3600"/>
            <w:tcBorders>
              <w:top w:val="single" w:color="8EA9C1" w:sz="4"/>
              <w:left w:val="single" w:color="8EA9C1" w:sz="4"/>
              <w:bottom w:val="single" w:color="8EA9C1" w:sz="4"/>
              <w:right w:val="single" w:color="8EA9C1" w:sz="4"/>
            </w:tcBorders>
            <w:shd w:fill="1F4E79" w:color="auto" w:val="clear"/>
            <w:tcMar>
              <w:top w:type="dxa" w:w="60"/>
              <w:left w:type="dxa" w:w="90"/>
              <w:bottom w:type="dxa" w:w="60"/>
              <w:right w:type="dxa" w:w="90"/>
            </w:tcMar>
            <w:vAlign w:val="center"/>
          </w:tcPr>
          <w:p>
            <w:pPr>
              <w:spacing w:after="0"/>
              <w:jc w:val="center"/>
            </w:pPr>
            <w:r>
              <w:rPr>
                <w:rFonts w:ascii="Calibri" w:cs="Calibri" w:eastAsia="Calibri" w:hAnsi="Calibri"/>
                <w:b/>
                <w:bCs/>
                <w:color w:val="FFFFFF"/>
                <w:sz w:val="18"/>
                <w:szCs w:val="18"/>
              </w:rPr>
              <w:t xml:space="preserve">Question posée</w:t>
            </w:r>
          </w:p>
        </w:tc>
        <w:tc>
          <w:tcPr>
            <w:tcW w:type="dxa" w:w="4400"/>
            <w:tcBorders>
              <w:top w:val="single" w:color="8EA9C1" w:sz="4"/>
              <w:left w:val="single" w:color="8EA9C1" w:sz="4"/>
              <w:bottom w:val="single" w:color="8EA9C1" w:sz="4"/>
              <w:right w:val="single" w:color="8EA9C1" w:sz="4"/>
            </w:tcBorders>
            <w:shd w:fill="1F4E79" w:color="auto" w:val="clear"/>
            <w:tcMar>
              <w:top w:type="dxa" w:w="60"/>
              <w:left w:type="dxa" w:w="90"/>
              <w:bottom w:type="dxa" w:w="60"/>
              <w:right w:type="dxa" w:w="90"/>
            </w:tcMar>
            <w:vAlign w:val="center"/>
          </w:tcPr>
          <w:p>
            <w:pPr>
              <w:spacing w:after="0"/>
              <w:jc w:val="center"/>
            </w:pPr>
            <w:r>
              <w:rPr>
                <w:rFonts w:ascii="Calibri" w:cs="Calibri" w:eastAsia="Calibri" w:hAnsi="Calibri"/>
                <w:b/>
                <w:bCs/>
                <w:color w:val="FFFFFF"/>
                <w:sz w:val="18"/>
                <w:szCs w:val="18"/>
              </w:rPr>
              <w:t xml:space="preserve">Réponse du client</w:t>
            </w:r>
          </w:p>
        </w:tc>
        <w:tc>
          <w:tcPr>
            <w:tcW w:type="dxa" w:w="6400"/>
            <w:tcBorders>
              <w:top w:val="single" w:color="8EA9C1" w:sz="4"/>
              <w:left w:val="single" w:color="8EA9C1" w:sz="4"/>
              <w:bottom w:val="single" w:color="8EA9C1" w:sz="4"/>
              <w:right w:val="single" w:color="8EA9C1" w:sz="4"/>
            </w:tcBorders>
            <w:shd w:fill="1F4E79" w:color="auto" w:val="clear"/>
            <w:tcMar>
              <w:top w:type="dxa" w:w="60"/>
              <w:left w:type="dxa" w:w="90"/>
              <w:bottom w:type="dxa" w:w="60"/>
              <w:right w:type="dxa" w:w="90"/>
            </w:tcMar>
            <w:vAlign w:val="center"/>
          </w:tcPr>
          <w:p>
            <w:pPr>
              <w:spacing w:after="0"/>
              <w:jc w:val="center"/>
            </w:pPr>
            <w:r>
              <w:rPr>
                <w:rFonts w:ascii="Calibri" w:cs="Calibri" w:eastAsia="Calibri" w:hAnsi="Calibri"/>
                <w:b/>
                <w:bCs/>
                <w:color w:val="FFFFFF"/>
                <w:sz w:val="18"/>
                <w:szCs w:val="18"/>
              </w:rPr>
              <w:t xml:space="preserve">Conséquence sur la conception</w:t>
            </w:r>
          </w:p>
        </w:tc>
      </w:tr>
      <w:tr>
        <w:trPr>
          <w:cantSplit/>
        </w:trPr>
        <w:tc>
          <w:tcPr>
            <w:tcW w:type="dxa" w:w="3600"/>
            <w:tcBorders>
              <w:top w:val="single" w:color="8EA9C1" w:sz="4"/>
              <w:left w:val="single" w:color="8EA9C1" w:sz="4"/>
              <w:bottom w:val="single" w:color="8EA9C1" w:sz="4"/>
              <w:right w:val="single" w:color="8EA9C1" w:sz="4"/>
            </w:tcBorders>
            <w:shd w:fill="F2F6FA" w:color="auto" w:val="clear"/>
            <w:tcMar>
              <w:top w:type="dxa" w:w="60"/>
              <w:left w:type="dxa" w:w="90"/>
              <w:bottom w:type="dxa" w:w="60"/>
              <w:right w:type="dxa" w:w="90"/>
            </w:tcMar>
            <w:vAlign w:val="center"/>
          </w:tcPr>
          <w:p>
            <w:pPr>
              <w:spacing w:after="0"/>
            </w:pPr>
            <w:r>
              <w:rPr>
                <w:rFonts w:ascii="Calibri" w:cs="Calibri" w:eastAsia="Calibri" w:hAnsi="Calibri"/>
                <w:b/>
                <w:bCs/>
                <w:sz w:val="18"/>
                <w:szCs w:val="18"/>
              </w:rPr>
              <w:t xml:space="preserve">Un salarié est-il forcément un employé français ?</w:t>
            </w:r>
          </w:p>
        </w:tc>
        <w:tc>
          <w:tcPr>
            <w:tcW w:type="dxa" w:w="44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Non : les RH françaises saisissent sur le portail, les sociétés allemandes envoient un fichier Excel avec les mêmes informations. Seul le mode d'alimentation change.</w:t>
            </w:r>
          </w:p>
        </w:tc>
        <w:tc>
          <w:tcPr>
            <w:tcW w:type="dxa" w:w="64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SALARIE_RH concerne les deux pays ; S4 alimente la même table que S3. Clé générique (MatriculeSAL, NumEtab).</w:t>
            </w:r>
          </w:p>
        </w:tc>
      </w:tr>
      <w:tr>
        <w:trPr>
          <w:cantSplit/>
        </w:trPr>
        <w:tc>
          <w:tcPr>
            <w:tcW w:type="dxa" w:w="3600"/>
            <w:tcBorders>
              <w:top w:val="single" w:color="8EA9C1" w:sz="4"/>
              <w:left w:val="single" w:color="8EA9C1" w:sz="4"/>
              <w:bottom w:val="single" w:color="8EA9C1" w:sz="4"/>
              <w:right w:val="single" w:color="8EA9C1" w:sz="4"/>
            </w:tcBorders>
            <w:shd w:fill="F2F6FA" w:color="auto" w:val="clear"/>
            <w:tcMar>
              <w:top w:type="dxa" w:w="60"/>
              <w:left w:type="dxa" w:w="90"/>
              <w:bottom w:type="dxa" w:w="60"/>
              <w:right w:type="dxa" w:w="90"/>
            </w:tcMar>
            <w:vAlign w:val="center"/>
          </w:tcPr>
          <w:p>
            <w:pPr>
              <w:spacing w:after="0"/>
            </w:pPr>
            <w:r>
              <w:rPr>
                <w:rFonts w:ascii="Calibri" w:cs="Calibri" w:eastAsia="Calibri" w:hAnsi="Calibri"/>
                <w:b/>
                <w:bCs/>
                <w:sz w:val="18"/>
                <w:szCs w:val="18"/>
              </w:rPr>
              <w:t xml:space="preserve">Les salariés RH sont-ils déjà dans l'ED ?</w:t>
            </w:r>
          </w:p>
        </w:tc>
        <w:tc>
          <w:tcPr>
            <w:tcW w:type="dxa" w:w="44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Le personnel évolue : il y aura forcément de nouvelles personnes.</w:t>
            </w:r>
          </w:p>
        </w:tc>
        <w:tc>
          <w:tcPr>
            <w:tcW w:type="dxa" w:w="64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Les nouveaux employés arrivent par le système MobiPass (inscription) ; les fiches RH non rapprochées sont retentées à chaque chargement.</w:t>
            </w:r>
          </w:p>
        </w:tc>
      </w:tr>
      <w:tr>
        <w:trPr>
          <w:cantSplit/>
        </w:trPr>
        <w:tc>
          <w:tcPr>
            <w:tcW w:type="dxa" w:w="3600"/>
            <w:tcBorders>
              <w:top w:val="single" w:color="8EA9C1" w:sz="4"/>
              <w:left w:val="single" w:color="8EA9C1" w:sz="4"/>
              <w:bottom w:val="single" w:color="8EA9C1" w:sz="4"/>
              <w:right w:val="single" w:color="8EA9C1" w:sz="4"/>
            </w:tcBorders>
            <w:shd w:fill="F2F6FA" w:color="auto" w:val="clear"/>
            <w:tcMar>
              <w:top w:type="dxa" w:w="60"/>
              <w:left w:type="dxa" w:w="90"/>
              <w:bottom w:type="dxa" w:w="60"/>
              <w:right w:type="dxa" w:w="90"/>
            </w:tcMar>
            <w:vAlign w:val="center"/>
          </w:tcPr>
          <w:p>
            <w:pPr>
              <w:spacing w:after="0"/>
            </w:pPr>
            <w:r>
              <w:rPr>
                <w:rFonts w:ascii="Calibri" w:cs="Calibri" w:eastAsia="Calibri" w:hAnsi="Calibri"/>
                <w:b/>
                <w:bCs/>
                <w:sz w:val="18"/>
                <w:szCs w:val="18"/>
              </w:rPr>
              <w:t xml:space="preserve">Le tarif dépend-il de l'agence ?</w:t>
            </w:r>
          </w:p>
        </w:tc>
        <w:tc>
          <w:tcPr>
            <w:tcW w:type="dxa" w:w="44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Non. Comparer la même chose (HT), mais pouvoir restituer le TTC au choix du décideur.</w:t>
            </w:r>
          </w:p>
        </w:tc>
        <w:tc>
          <w:tcPr>
            <w:tcW w:type="dxa" w:w="64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Montants stockés en HT dans les magasins ; affichage TTC calculé avec le taux de TVA du pays (C4).</w:t>
            </w:r>
          </w:p>
        </w:tc>
      </w:tr>
      <w:tr>
        <w:trPr>
          <w:cantSplit/>
        </w:trPr>
        <w:tc>
          <w:tcPr>
            <w:tcW w:type="dxa" w:w="3600"/>
            <w:tcBorders>
              <w:top w:val="single" w:color="8EA9C1" w:sz="4"/>
              <w:left w:val="single" w:color="8EA9C1" w:sz="4"/>
              <w:bottom w:val="single" w:color="8EA9C1" w:sz="4"/>
              <w:right w:val="single" w:color="8EA9C1" w:sz="4"/>
            </w:tcBorders>
            <w:shd w:fill="F2F6FA" w:color="auto" w:val="clear"/>
            <w:tcMar>
              <w:top w:type="dxa" w:w="60"/>
              <w:left w:type="dxa" w:w="90"/>
              <w:bottom w:type="dxa" w:w="60"/>
              <w:right w:type="dxa" w:w="90"/>
            </w:tcMar>
            <w:vAlign w:val="center"/>
          </w:tcPr>
          <w:p>
            <w:pPr>
              <w:spacing w:after="0"/>
            </w:pPr>
            <w:r>
              <w:rPr>
                <w:rFonts w:ascii="Calibri" w:cs="Calibri" w:eastAsia="Calibri" w:hAnsi="Calibri"/>
                <w:b/>
                <w:bCs/>
                <w:sz w:val="18"/>
                <w:szCs w:val="18"/>
              </w:rPr>
              <w:t xml:space="preserve">Le responsable des locations analyse-t-il seulement la France ?</w:t>
            </w:r>
          </w:p>
        </w:tc>
        <w:tc>
          <w:tcPr>
            <w:tcW w:type="dxa" w:w="44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Question de valeurs de données ; une solution qui traite les deux pays se différencie, à condition que le minimum soit correct.</w:t>
            </w:r>
          </w:p>
        </w:tc>
        <w:tc>
          <w:tcPr>
            <w:tcW w:type="dxa" w:w="64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MD1 couvre la France et l'Allemagne, avec une vue par pays et une vue consolidée.</w:t>
            </w:r>
          </w:p>
        </w:tc>
      </w:tr>
      <w:tr>
        <w:trPr>
          <w:cantSplit/>
        </w:trPr>
        <w:tc>
          <w:tcPr>
            <w:tcW w:type="dxa" w:w="3600"/>
            <w:tcBorders>
              <w:top w:val="single" w:color="8EA9C1" w:sz="4"/>
              <w:left w:val="single" w:color="8EA9C1" w:sz="4"/>
              <w:bottom w:val="single" w:color="8EA9C1" w:sz="4"/>
              <w:right w:val="single" w:color="8EA9C1" w:sz="4"/>
            </w:tcBorders>
            <w:shd w:fill="F2F6FA" w:color="auto" w:val="clear"/>
            <w:tcMar>
              <w:top w:type="dxa" w:w="60"/>
              <w:left w:type="dxa" w:w="90"/>
              <w:bottom w:type="dxa" w:w="60"/>
              <w:right w:type="dxa" w:w="90"/>
            </w:tcMar>
            <w:vAlign w:val="center"/>
          </w:tcPr>
          <w:p>
            <w:pPr>
              <w:spacing w:after="0"/>
            </w:pPr>
            <w:r>
              <w:rPr>
                <w:rFonts w:ascii="Calibri" w:cs="Calibri" w:eastAsia="Calibri" w:hAnsi="Calibri"/>
                <w:b/>
                <w:bCs/>
                <w:sz w:val="18"/>
                <w:szCs w:val="18"/>
              </w:rPr>
              <w:t xml:space="preserve">Les offres Alltricks : comment les intégrer ?</w:t>
            </w:r>
          </w:p>
        </w:tc>
        <w:tc>
          <w:tcPr>
            <w:tcW w:type="dxa" w:w="44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C'est une offre négociée, à nous de l'intégrer ; ce ne sont pas des produits gérés par MobiPass. Leur usage dans les analyses est laissé à notre appréciation.</w:t>
            </w:r>
          </w:p>
        </w:tc>
        <w:tc>
          <w:tcPr>
            <w:tcW w:type="dxa" w:w="64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Source S7 intégrée : PARTENAIRE et ACHAT_PARTENAIRE (montant payé par employé et par jour, sans détail des articles) ; fait Acheter_Partenaire dans MD2 (rapport B4.4).</w:t>
            </w:r>
          </w:p>
        </w:tc>
      </w:tr>
      <w:tr>
        <w:trPr>
          <w:cantSplit/>
        </w:trPr>
        <w:tc>
          <w:tcPr>
            <w:tcW w:type="dxa" w:w="3600"/>
            <w:tcBorders>
              <w:top w:val="single" w:color="8EA9C1" w:sz="4"/>
              <w:left w:val="single" w:color="8EA9C1" w:sz="4"/>
              <w:bottom w:val="single" w:color="8EA9C1" w:sz="4"/>
              <w:right w:val="single" w:color="8EA9C1" w:sz="4"/>
            </w:tcBorders>
            <w:shd w:fill="F2F6FA" w:color="auto" w:val="clear"/>
            <w:tcMar>
              <w:top w:type="dxa" w:w="60"/>
              <w:left w:type="dxa" w:w="90"/>
              <w:bottom w:type="dxa" w:w="60"/>
              <w:right w:type="dxa" w:w="90"/>
            </w:tcMar>
            <w:vAlign w:val="center"/>
          </w:tcPr>
          <w:p>
            <w:pPr>
              <w:spacing w:after="0"/>
            </w:pPr>
            <w:r>
              <w:rPr>
                <w:rFonts w:ascii="Calibri" w:cs="Calibri" w:eastAsia="Calibri" w:hAnsi="Calibri"/>
                <w:b/>
                <w:bCs/>
                <w:sz w:val="18"/>
                <w:szCs w:val="18"/>
              </w:rPr>
              <w:t xml:space="preserve">Faut-il historiser les changements de service ?</w:t>
            </w:r>
          </w:p>
        </w:tc>
        <w:tc>
          <w:tcPr>
            <w:tcW w:type="dxa" w:w="44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 Vous êtes les spécialistes, proposez la meilleure solution. »</w:t>
            </w:r>
          </w:p>
        </w:tc>
        <w:tc>
          <w:tcPr>
            <w:tcW w:type="dxa" w:w="64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Historisation des affectations (ETRE_AFFECTE, RG14), service actuel conservé dans EMPLOYE.</w:t>
            </w:r>
          </w:p>
        </w:tc>
      </w:tr>
      <w:tr>
        <w:trPr>
          <w:cantSplit/>
        </w:trPr>
        <w:tc>
          <w:tcPr>
            <w:tcW w:type="dxa" w:w="3600"/>
            <w:tcBorders>
              <w:top w:val="single" w:color="8EA9C1" w:sz="4"/>
              <w:left w:val="single" w:color="8EA9C1" w:sz="4"/>
              <w:bottom w:val="single" w:color="8EA9C1" w:sz="4"/>
              <w:right w:val="single" w:color="8EA9C1" w:sz="4"/>
            </w:tcBorders>
            <w:shd w:fill="F2F6FA" w:color="auto" w:val="clear"/>
            <w:tcMar>
              <w:top w:type="dxa" w:w="60"/>
              <w:left w:type="dxa" w:w="90"/>
              <w:bottom w:type="dxa" w:w="60"/>
              <w:right w:type="dxa" w:w="90"/>
            </w:tcMar>
            <w:vAlign w:val="center"/>
          </w:tcPr>
          <w:p>
            <w:pPr>
              <w:spacing w:after="0"/>
            </w:pPr>
            <w:r>
              <w:rPr>
                <w:rFonts w:ascii="Calibri" w:cs="Calibri" w:eastAsia="Calibri" w:hAnsi="Calibri"/>
                <w:b/>
                <w:bCs/>
                <w:sz w:val="18"/>
                <w:szCs w:val="18"/>
              </w:rPr>
              <w:t xml:space="preserve">Les sociétés allemandes ont-elles un type, un SIRET ?</w:t>
            </w:r>
          </w:p>
        </w:tc>
        <w:tc>
          <w:tcPr>
            <w:tcW w:type="dxa" w:w="44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À nous de voir ce qui existe en Allemagne ; pas de SIRET, mais un numéro allemand de composition différente.</w:t>
            </w:r>
          </w:p>
        </w:tc>
        <w:tc>
          <w:tcPr>
            <w:tcW w:type="dxa" w:w="64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Types européens communs aux deux pays (RG12), formes juridiques allemandes (RG15), USt-IdNr comme code société (RG16), Betriebsnummer comme numéro d'établissement (RG6).</w:t>
            </w:r>
          </w:p>
        </w:tc>
      </w:tr>
      <w:tr>
        <w:trPr>
          <w:cantSplit/>
        </w:trPr>
        <w:tc>
          <w:tcPr>
            <w:tcW w:type="dxa" w:w="3600"/>
            <w:tcBorders>
              <w:top w:val="single" w:color="8EA9C1" w:sz="4"/>
              <w:left w:val="single" w:color="8EA9C1" w:sz="4"/>
              <w:bottom w:val="single" w:color="8EA9C1" w:sz="4"/>
              <w:right w:val="single" w:color="8EA9C1" w:sz="4"/>
            </w:tcBorders>
            <w:shd w:fill="F2F6FA" w:color="auto" w:val="clear"/>
            <w:tcMar>
              <w:top w:type="dxa" w:w="60"/>
              <w:left w:type="dxa" w:w="90"/>
              <w:bottom w:type="dxa" w:w="60"/>
              <w:right w:type="dxa" w:w="90"/>
            </w:tcMar>
            <w:vAlign w:val="center"/>
          </w:tcPr>
          <w:p>
            <w:pPr>
              <w:spacing w:after="0"/>
            </w:pPr>
            <w:r>
              <w:rPr>
                <w:rFonts w:ascii="Calibri" w:cs="Calibri" w:eastAsia="Calibri" w:hAnsi="Calibri"/>
                <w:b/>
                <w:bCs/>
                <w:sz w:val="18"/>
                <w:szCs w:val="18"/>
              </w:rPr>
              <w:t xml:space="preserve">Homonymes de villes allemandes : la société peut-elle fournir le code postal ou l'AGS ?</w:t>
            </w:r>
          </w:p>
        </w:tc>
        <w:tc>
          <w:tcPr>
            <w:tcW w:type="dxa" w:w="44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Non, c'est à nous de chercher et de détecter les erreurs ; les niveaux supérieurs se déduisent du code de la commune.</w:t>
            </w:r>
          </w:p>
        </w:tc>
        <w:tc>
          <w:tcPr>
            <w:tcW w:type="dxa" w:w="64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Rattachement par le nom de ville avec contrôle de qualité dans la DSA ; hiérarchie déduite des préfixes AGS (RG13).</w:t>
            </w:r>
          </w:p>
        </w:tc>
      </w:tr>
      <w:tr>
        <w:trPr>
          <w:cantSplit/>
        </w:trPr>
        <w:tc>
          <w:tcPr>
            <w:tcW w:type="dxa" w:w="3600"/>
            <w:tcBorders>
              <w:top w:val="single" w:color="8EA9C1" w:sz="4"/>
              <w:left w:val="single" w:color="8EA9C1" w:sz="4"/>
              <w:bottom w:val="single" w:color="8EA9C1" w:sz="4"/>
              <w:right w:val="single" w:color="8EA9C1" w:sz="4"/>
            </w:tcBorders>
            <w:shd w:fill="F2F6FA" w:color="auto" w:val="clear"/>
            <w:tcMar>
              <w:top w:type="dxa" w:w="60"/>
              <w:left w:type="dxa" w:w="90"/>
              <w:bottom w:type="dxa" w:w="60"/>
              <w:right w:type="dxa" w:w="90"/>
            </w:tcMar>
            <w:vAlign w:val="center"/>
          </w:tcPr>
          <w:p>
            <w:pPr>
              <w:spacing w:after="0"/>
            </w:pPr>
            <w:r>
              <w:rPr>
                <w:rFonts w:ascii="Calibri" w:cs="Calibri" w:eastAsia="Calibri" w:hAnsi="Calibri"/>
                <w:b/>
                <w:bCs/>
                <w:sz w:val="18"/>
                <w:szCs w:val="18"/>
              </w:rPr>
              <w:t xml:space="preserve">Un employé peut-il louer plusieurs fois le même jour ?</w:t>
            </w:r>
          </w:p>
        </w:tc>
        <w:tc>
          <w:tcPr>
            <w:tcW w:type="dxa" w:w="44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Pas le même exemplaire : le tarif est à la journée.</w:t>
            </w:r>
          </w:p>
        </w:tc>
        <w:tc>
          <w:tcPr>
            <w:tcW w:type="dxa" w:w="64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La clé (CodeEX, CodeE, DateL) est confirmée ; la location est rattachée à sa date de début.</w:t>
            </w:r>
          </w:p>
        </w:tc>
      </w:tr>
      <w:tr>
        <w:trPr>
          <w:cantSplit/>
        </w:trPr>
        <w:tc>
          <w:tcPr>
            <w:tcW w:type="dxa" w:w="3600"/>
            <w:tcBorders>
              <w:top w:val="single" w:color="8EA9C1" w:sz="4"/>
              <w:left w:val="single" w:color="8EA9C1" w:sz="4"/>
              <w:bottom w:val="single" w:color="8EA9C1" w:sz="4"/>
              <w:right w:val="single" w:color="8EA9C1" w:sz="4"/>
            </w:tcBorders>
            <w:shd w:fill="F2F6FA" w:color="auto" w:val="clear"/>
            <w:tcMar>
              <w:top w:type="dxa" w:w="60"/>
              <w:left w:type="dxa" w:w="90"/>
              <w:bottom w:type="dxa" w:w="60"/>
              <w:right w:type="dxa" w:w="90"/>
            </w:tcMar>
            <w:vAlign w:val="center"/>
          </w:tcPr>
          <w:p>
            <w:pPr>
              <w:spacing w:after="0"/>
            </w:pPr>
            <w:r>
              <w:rPr>
                <w:rFonts w:ascii="Calibri" w:cs="Calibri" w:eastAsia="Calibri" w:hAnsi="Calibri"/>
                <w:b/>
                <w:bCs/>
                <w:sz w:val="18"/>
                <w:szCs w:val="18"/>
              </w:rPr>
              <w:t xml:space="preserve">Domaine d'activité NAF : combien de niveaux ?</w:t>
            </w:r>
          </w:p>
        </w:tc>
        <w:tc>
          <w:tcPr>
            <w:tcW w:type="dxa" w:w="44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La hiérarchie du dictionnaire a 4 niveaux, le fichier en a 5 : en retenir 4.</w:t>
            </w:r>
          </w:p>
        </w:tc>
        <w:tc>
          <w:tcPr>
            <w:tcW w:type="dxa" w:w="64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Division, groupe, classe, sous-classe (RG17).</w:t>
            </w:r>
          </w:p>
        </w:tc>
      </w:tr>
      <w:tr>
        <w:trPr>
          <w:cantSplit/>
        </w:trPr>
        <w:tc>
          <w:tcPr>
            <w:tcW w:type="dxa" w:w="3600"/>
            <w:tcBorders>
              <w:top w:val="single" w:color="8EA9C1" w:sz="4"/>
              <w:left w:val="single" w:color="8EA9C1" w:sz="4"/>
              <w:bottom w:val="single" w:color="8EA9C1" w:sz="4"/>
              <w:right w:val="single" w:color="8EA9C1" w:sz="4"/>
            </w:tcBorders>
            <w:shd w:fill="F2F6FA" w:color="auto" w:val="clear"/>
            <w:tcMar>
              <w:top w:type="dxa" w:w="60"/>
              <w:left w:type="dxa" w:w="90"/>
              <w:bottom w:type="dxa" w:w="60"/>
              <w:right w:type="dxa" w:w="90"/>
            </w:tcMar>
            <w:vAlign w:val="center"/>
          </w:tcPr>
          <w:p>
            <w:pPr>
              <w:spacing w:after="0"/>
            </w:pPr>
            <w:r>
              <w:rPr>
                <w:rFonts w:ascii="Calibri" w:cs="Calibri" w:eastAsia="Calibri" w:hAnsi="Calibri"/>
                <w:b/>
                <w:bCs/>
                <w:sz w:val="18"/>
                <w:szCs w:val="18"/>
              </w:rPr>
              <w:t xml:space="preserve">Un salarié peut-il exercer deux métiers en même temps ?</w:t>
            </w:r>
          </w:p>
        </w:tc>
        <w:tc>
          <w:tcPr>
            <w:tcW w:type="dxa" w:w="44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Non (« ingénieur et balayeur en même temps ? »).</w:t>
            </w:r>
          </w:p>
        </w:tc>
        <w:tc>
          <w:tcPr>
            <w:tcW w:type="dxa" w:w="64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RG9 confirmée : CIF sur EXERCER.</w:t>
            </w:r>
          </w:p>
        </w:tc>
      </w:tr>
      <w:tr>
        <w:trPr>
          <w:cantSplit/>
        </w:trPr>
        <w:tc>
          <w:tcPr>
            <w:tcW w:type="dxa" w:w="3600"/>
            <w:tcBorders>
              <w:top w:val="single" w:color="8EA9C1" w:sz="4"/>
              <w:left w:val="single" w:color="8EA9C1" w:sz="4"/>
              <w:bottom w:val="single" w:color="8EA9C1" w:sz="4"/>
              <w:right w:val="single" w:color="8EA9C1" w:sz="4"/>
            </w:tcBorders>
            <w:shd w:fill="F2F6FA" w:color="auto" w:val="clear"/>
            <w:tcMar>
              <w:top w:type="dxa" w:w="60"/>
              <w:left w:type="dxa" w:w="90"/>
              <w:bottom w:type="dxa" w:w="60"/>
              <w:right w:type="dxa" w:w="90"/>
            </w:tcMar>
            <w:vAlign w:val="center"/>
          </w:tcPr>
          <w:p>
            <w:pPr>
              <w:spacing w:after="0"/>
            </w:pPr>
            <w:r>
              <w:rPr>
                <w:rFonts w:ascii="Calibri" w:cs="Calibri" w:eastAsia="Calibri" w:hAnsi="Calibri"/>
                <w:b/>
                <w:bCs/>
                <w:sz w:val="18"/>
                <w:szCs w:val="18"/>
              </w:rPr>
              <w:t xml:space="preserve">Les responsables des ventes ont-ils une vue consolidée ?</w:t>
            </w:r>
          </w:p>
        </w:tc>
        <w:tc>
          <w:tcPr>
            <w:tcW w:type="dxa" w:w="44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Pas de réponse.</w:t>
            </w:r>
          </w:p>
        </w:tc>
        <w:tc>
          <w:tcPr>
            <w:tcW w:type="dxa" w:w="64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Hypothèse : chaque responsable voit son pays (sécurité par pays), une vue consolidée restant possible pour un profil habilité.</w:t>
            </w:r>
          </w:p>
        </w:tc>
      </w:tr>
    </w:tbl>
    <w:p>
      <w:pPr>
        <w:spacing w:after="60"/>
      </w:pPr>
      <w:r>
        <w:rPr>
          <w:rFonts w:ascii="Calibri" w:cs="Calibri" w:eastAsia="Calibri" w:hAnsi="Calibri"/>
          <w:sz w:val="21"/>
          <w:szCs w:val="21"/>
        </w:rPr>
        <w:t xml:space="preserve"/>
      </w:r>
    </w:p>
    <w:p>
      <w:pPr>
        <w:spacing w:after="120"/>
      </w:pPr>
      <w:r>
        <w:rPr>
          <w:rFonts w:ascii="Calibri" w:cs="Calibri" w:eastAsia="Calibri" w:hAnsi="Calibri"/>
          <w:i/>
          <w:iCs/>
          <w:sz w:val="20"/>
          <w:szCs w:val="20"/>
        </w:rPr>
        <w:t xml:space="preserve">Message du client : « Il faut d'abord s'assurer que le minimum commun est correctement fait et juste ; ensuite, montrer que la solution est suffisamment robuste pour traiter les deux pays vous différenciera. »</w:t>
      </w:r>
    </w:p>
    <w:p>
      <w:pPr>
        <w:pStyle w:val="Heading1"/>
        <w:pageBreakBefore/>
      </w:pPr>
      <w:r>
        <w:t xml:space="preserve">Architecture fonctionnelle du SAD</w:t>
      </w:r>
    </w:p>
    <w:p>
      <w:pPr>
        <w:pStyle w:val="Heading2"/>
      </w:pPr>
      <w:r>
        <w:t xml:space="preserve">Identification des magasins de données</w:t>
      </w:r>
    </w:p>
    <w:p>
      <w:pPr>
        <w:spacing w:after="120"/>
      </w:pPr>
      <w:r>
        <w:rPr>
          <w:rFonts w:ascii="Calibri" w:cs="Calibri" w:eastAsia="Calibri" w:hAnsi="Calibri"/>
          <w:sz w:val="21"/>
          <w:szCs w:val="21"/>
        </w:rPr>
        <w:t xml:space="preserve">Nous avons identifié les magasins en fonction des classes de décideurs : chacune a son propre sujet d'analyse (la location d'un côté, l'achat de l'autre), ses propres axes et ses propres contraintes de restitution. Nous retenons donc deux magasins. Les deux responsables des ventes partagent le même magasin : leurs besoins sont identiques, seul le périmètre géographique change, ce qui se traite par un filtrage par pays plutôt que par deux magasins identiques à maintenir.</w:t>
      </w:r>
    </w:p>
    <w:p>
      <w:pPr>
        <w:spacing w:after="120"/>
      </w:pPr>
      <w:r>
        <w:rPr>
          <w:rFonts w:ascii="Calibri" w:cs="Calibri" w:eastAsia="Calibri" w:hAnsi="Calibri"/>
          <w:b/>
          <w:bCs/>
          <w:color w:val="1F4E79"/>
          <w:sz w:val="21"/>
          <w:szCs w:val="21"/>
        </w:rPr>
        <w:t xml:space="preserve">Dictionnaire des magasins</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100"/>
        <w:gridCol w:w="3900"/>
        <w:gridCol w:w="2400"/>
        <w:gridCol w:w="3300"/>
        <w:gridCol w:w="3700"/>
      </w:tblGrid>
      <w:tr>
        <w:trPr>
          <w:tblHeader/>
        </w:trPr>
        <w:tc>
          <w:tcPr>
            <w:tcW w:type="dxa" w:w="1100"/>
            <w:tcBorders>
              <w:top w:val="single" w:color="8EA9C1" w:sz="4"/>
              <w:left w:val="single" w:color="8EA9C1" w:sz="4"/>
              <w:bottom w:val="single" w:color="8EA9C1" w:sz="4"/>
              <w:right w:val="single" w:color="8EA9C1" w:sz="4"/>
            </w:tcBorders>
            <w:shd w:fill="1F4E79" w:color="auto" w:val="clear"/>
            <w:tcMar>
              <w:top w:type="dxa" w:w="60"/>
              <w:left w:type="dxa" w:w="90"/>
              <w:bottom w:type="dxa" w:w="60"/>
              <w:right w:type="dxa" w:w="90"/>
            </w:tcMar>
            <w:vAlign w:val="center"/>
          </w:tcPr>
          <w:p>
            <w:pPr>
              <w:spacing w:after="0"/>
              <w:jc w:val="center"/>
            </w:pPr>
            <w:r>
              <w:rPr>
                <w:rFonts w:ascii="Calibri" w:cs="Calibri" w:eastAsia="Calibri" w:hAnsi="Calibri"/>
                <w:b/>
                <w:bCs/>
                <w:color w:val="FFFFFF"/>
                <w:sz w:val="18"/>
                <w:szCs w:val="18"/>
              </w:rPr>
              <w:t xml:space="preserve">Identifiant</w:t>
            </w:r>
          </w:p>
        </w:tc>
        <w:tc>
          <w:tcPr>
            <w:tcW w:type="dxa" w:w="3900"/>
            <w:tcBorders>
              <w:top w:val="single" w:color="8EA9C1" w:sz="4"/>
              <w:left w:val="single" w:color="8EA9C1" w:sz="4"/>
              <w:bottom w:val="single" w:color="8EA9C1" w:sz="4"/>
              <w:right w:val="single" w:color="8EA9C1" w:sz="4"/>
            </w:tcBorders>
            <w:shd w:fill="1F4E79" w:color="auto" w:val="clear"/>
            <w:tcMar>
              <w:top w:type="dxa" w:w="60"/>
              <w:left w:type="dxa" w:w="90"/>
              <w:bottom w:type="dxa" w:w="60"/>
              <w:right w:type="dxa" w:w="90"/>
            </w:tcMar>
            <w:vAlign w:val="center"/>
          </w:tcPr>
          <w:p>
            <w:pPr>
              <w:spacing w:after="0"/>
              <w:jc w:val="center"/>
            </w:pPr>
            <w:r>
              <w:rPr>
                <w:rFonts w:ascii="Calibri" w:cs="Calibri" w:eastAsia="Calibri" w:hAnsi="Calibri"/>
                <w:b/>
                <w:bCs/>
                <w:color w:val="FFFFFF"/>
                <w:sz w:val="18"/>
                <w:szCs w:val="18"/>
              </w:rPr>
              <w:t xml:space="preserve">Description</w:t>
            </w:r>
          </w:p>
        </w:tc>
        <w:tc>
          <w:tcPr>
            <w:tcW w:type="dxa" w:w="2400"/>
            <w:tcBorders>
              <w:top w:val="single" w:color="8EA9C1" w:sz="4"/>
              <w:left w:val="single" w:color="8EA9C1" w:sz="4"/>
              <w:bottom w:val="single" w:color="8EA9C1" w:sz="4"/>
              <w:right w:val="single" w:color="8EA9C1" w:sz="4"/>
            </w:tcBorders>
            <w:shd w:fill="1F4E79" w:color="auto" w:val="clear"/>
            <w:tcMar>
              <w:top w:type="dxa" w:w="60"/>
              <w:left w:type="dxa" w:w="90"/>
              <w:bottom w:type="dxa" w:w="60"/>
              <w:right w:type="dxa" w:w="90"/>
            </w:tcMar>
            <w:vAlign w:val="center"/>
          </w:tcPr>
          <w:p>
            <w:pPr>
              <w:spacing w:after="0"/>
              <w:jc w:val="center"/>
            </w:pPr>
            <w:r>
              <w:rPr>
                <w:rFonts w:ascii="Calibri" w:cs="Calibri" w:eastAsia="Calibri" w:hAnsi="Calibri"/>
                <w:b/>
                <w:bCs/>
                <w:color w:val="FFFFFF"/>
                <w:sz w:val="18"/>
                <w:szCs w:val="18"/>
              </w:rPr>
              <w:t xml:space="preserve">Utilisateurs</w:t>
            </w:r>
          </w:p>
        </w:tc>
        <w:tc>
          <w:tcPr>
            <w:tcW w:type="dxa" w:w="3300"/>
            <w:tcBorders>
              <w:top w:val="single" w:color="8EA9C1" w:sz="4"/>
              <w:left w:val="single" w:color="8EA9C1" w:sz="4"/>
              <w:bottom w:val="single" w:color="8EA9C1" w:sz="4"/>
              <w:right w:val="single" w:color="8EA9C1" w:sz="4"/>
            </w:tcBorders>
            <w:shd w:fill="1F4E79" w:color="auto" w:val="clear"/>
            <w:tcMar>
              <w:top w:type="dxa" w:w="60"/>
              <w:left w:type="dxa" w:w="90"/>
              <w:bottom w:type="dxa" w:w="60"/>
              <w:right w:type="dxa" w:w="90"/>
            </w:tcMar>
            <w:vAlign w:val="center"/>
          </w:tcPr>
          <w:p>
            <w:pPr>
              <w:spacing w:after="0"/>
              <w:jc w:val="center"/>
            </w:pPr>
            <w:r>
              <w:rPr>
                <w:rFonts w:ascii="Calibri" w:cs="Calibri" w:eastAsia="Calibri" w:hAnsi="Calibri"/>
                <w:b/>
                <w:bCs/>
                <w:color w:val="FFFFFF"/>
                <w:sz w:val="18"/>
                <w:szCs w:val="18"/>
              </w:rPr>
              <w:t xml:space="preserve">Outils de stockage</w:t>
            </w:r>
          </w:p>
        </w:tc>
        <w:tc>
          <w:tcPr>
            <w:tcW w:type="dxa" w:w="3700"/>
            <w:tcBorders>
              <w:top w:val="single" w:color="8EA9C1" w:sz="4"/>
              <w:left w:val="single" w:color="8EA9C1" w:sz="4"/>
              <w:bottom w:val="single" w:color="8EA9C1" w:sz="4"/>
              <w:right w:val="single" w:color="8EA9C1" w:sz="4"/>
            </w:tcBorders>
            <w:shd w:fill="1F4E79" w:color="auto" w:val="clear"/>
            <w:tcMar>
              <w:top w:type="dxa" w:w="60"/>
              <w:left w:type="dxa" w:w="90"/>
              <w:bottom w:type="dxa" w:w="60"/>
              <w:right w:type="dxa" w:w="90"/>
            </w:tcMar>
            <w:vAlign w:val="center"/>
          </w:tcPr>
          <w:p>
            <w:pPr>
              <w:spacing w:after="0"/>
              <w:jc w:val="center"/>
            </w:pPr>
            <w:r>
              <w:rPr>
                <w:rFonts w:ascii="Calibri" w:cs="Calibri" w:eastAsia="Calibri" w:hAnsi="Calibri"/>
                <w:b/>
                <w:bCs/>
                <w:color w:val="FFFFFF"/>
                <w:sz w:val="18"/>
                <w:szCs w:val="18"/>
              </w:rPr>
              <w:t xml:space="preserve">Outils de restitution</w:t>
            </w:r>
          </w:p>
        </w:tc>
      </w:tr>
      <w:tr>
        <w:trPr>
          <w:cantSplit/>
        </w:trPr>
        <w:tc>
          <w:tcPr>
            <w:tcW w:type="dxa" w:w="1100"/>
            <w:tcBorders>
              <w:top w:val="single" w:color="8EA9C1" w:sz="4"/>
              <w:left w:val="single" w:color="8EA9C1" w:sz="4"/>
              <w:bottom w:val="single" w:color="8EA9C1" w:sz="4"/>
              <w:right w:val="single" w:color="8EA9C1" w:sz="4"/>
            </w:tcBorders>
            <w:shd w:fill="DCE6F1" w:color="auto" w:val="clear"/>
            <w:tcMar>
              <w:top w:type="dxa" w:w="60"/>
              <w:left w:type="dxa" w:w="90"/>
              <w:bottom w:type="dxa" w:w="60"/>
              <w:right w:type="dxa" w:w="90"/>
            </w:tcMar>
            <w:vAlign w:val="center"/>
          </w:tcPr>
          <w:p>
            <w:pPr>
              <w:spacing w:after="0"/>
              <w:jc w:val="center"/>
            </w:pPr>
            <w:r>
              <w:rPr>
                <w:rFonts w:ascii="Calibri" w:cs="Calibri" w:eastAsia="Calibri" w:hAnsi="Calibri"/>
                <w:b/>
                <w:bCs/>
                <w:sz w:val="18"/>
                <w:szCs w:val="18"/>
              </w:rPr>
              <w:t xml:space="preserve">MD1 Locations</w:t>
            </w:r>
          </w:p>
        </w:tc>
        <w:tc>
          <w:tcPr>
            <w:tcW w:type="dxa" w:w="39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Permet de suivre l'activité de location (durées, montants au prix public et montants réellement payés) par exemplaire, employé, société et période, afin de mieux anticiper les périodes de tension sur le parc.</w:t>
            </w:r>
          </w:p>
        </w:tc>
        <w:tc>
          <w:tcPr>
            <w:tcW w:type="dxa" w:w="24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Responsable des locations</w:t>
            </w:r>
          </w:p>
        </w:tc>
        <w:tc>
          <w:tcPr>
            <w:tcW w:type="dxa" w:w="33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Système R-OLAP sous Oracle 19c</w:t>
            </w:r>
          </w:p>
          <w:p>
            <w:pPr>
              <w:spacing w:after="0"/>
            </w:pPr>
            <w:r>
              <w:rPr>
                <w:rFonts w:ascii="Calibri" w:cs="Calibri" w:eastAsia="Calibri" w:hAnsi="Calibri"/>
                <w:sz w:val="18"/>
                <w:szCs w:val="18"/>
              </w:rPr>
              <w:t xml:space="preserve">Schéma en étoile (fait Louer), France et Allemagne</w:t>
            </w:r>
          </w:p>
          <w:p>
            <w:pPr>
              <w:spacing w:after="0"/>
            </w:pPr>
            <w:r>
              <w:rPr>
                <w:rFonts w:ascii="Calibri" w:cs="Calibri" w:eastAsia="Calibri" w:hAnsi="Calibri"/>
                <w:sz w:val="18"/>
                <w:szCs w:val="18"/>
              </w:rPr>
              <w:t xml:space="preserve">Données agrégées : vues matérialisées par semaine et par mois</w:t>
            </w:r>
          </w:p>
        </w:tc>
        <w:tc>
          <w:tcPr>
            <w:tcW w:type="dxa" w:w="37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Power BI (connexion DirectQuery)</w:t>
            </w:r>
          </w:p>
          <w:p>
            <w:pPr>
              <w:spacing w:after="0"/>
            </w:pPr>
            <w:r>
              <w:rPr>
                <w:rFonts w:ascii="Calibri" w:cs="Calibri" w:eastAsia="Calibri" w:hAnsi="Calibri"/>
                <w:sz w:val="18"/>
                <w:szCs w:val="18"/>
              </w:rPr>
              <w:t xml:space="preserve">Rapports prêts à l'emploi (B1)</w:t>
            </w:r>
          </w:p>
          <w:p>
            <w:pPr>
              <w:spacing w:after="0"/>
            </w:pPr>
            <w:r>
              <w:rPr>
                <w:rFonts w:ascii="Calibri" w:cs="Calibri" w:eastAsia="Calibri" w:hAnsi="Calibri"/>
                <w:sz w:val="18"/>
                <w:szCs w:val="18"/>
              </w:rPr>
              <w:t xml:space="preserve">Navigation OLAP : forage, filtres (B2)</w:t>
            </w:r>
          </w:p>
        </w:tc>
      </w:tr>
      <w:tr>
        <w:trPr>
          <w:cantSplit/>
        </w:trPr>
        <w:tc>
          <w:tcPr>
            <w:tcW w:type="dxa" w:w="1100"/>
            <w:tcBorders>
              <w:top w:val="single" w:color="8EA9C1" w:sz="4"/>
              <w:left w:val="single" w:color="8EA9C1" w:sz="4"/>
              <w:bottom w:val="single" w:color="8EA9C1" w:sz="4"/>
              <w:right w:val="single" w:color="8EA9C1" w:sz="4"/>
            </w:tcBorders>
            <w:shd w:fill="DCE6F1" w:color="auto" w:val="clear"/>
            <w:tcMar>
              <w:top w:type="dxa" w:w="60"/>
              <w:left w:type="dxa" w:w="90"/>
              <w:bottom w:type="dxa" w:w="60"/>
              <w:right w:type="dxa" w:w="90"/>
            </w:tcMar>
            <w:vAlign w:val="center"/>
          </w:tcPr>
          <w:p>
            <w:pPr>
              <w:spacing w:after="0"/>
              <w:jc w:val="center"/>
            </w:pPr>
            <w:r>
              <w:rPr>
                <w:rFonts w:ascii="Calibri" w:cs="Calibri" w:eastAsia="Calibri" w:hAnsi="Calibri"/>
                <w:b/>
                <w:bCs/>
                <w:sz w:val="18"/>
                <w:szCs w:val="18"/>
              </w:rPr>
              <w:t xml:space="preserve">MD2 Ventes</w:t>
            </w:r>
          </w:p>
        </w:tc>
        <w:tc>
          <w:tcPr>
            <w:tcW w:type="dxa" w:w="39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Permet de piloter les ventes à moyen et long terme (quantités, montants payés, bénéfices) par produit, employé, société et territoire, afin d'identifier les gammes les plus adaptées à chaque lieu.</w:t>
            </w:r>
          </w:p>
        </w:tc>
        <w:tc>
          <w:tcPr>
            <w:tcW w:type="dxa" w:w="24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Responsables des ventes</w:t>
            </w:r>
          </w:p>
          <w:p>
            <w:pPr>
              <w:spacing w:after="0"/>
            </w:pPr>
            <w:r>
              <w:rPr>
                <w:rFonts w:ascii="Calibri" w:cs="Calibri" w:eastAsia="Calibri" w:hAnsi="Calibri"/>
                <w:sz w:val="18"/>
                <w:szCs w:val="18"/>
              </w:rPr>
              <w:t xml:space="preserve">(Lyon : France ; Berlin : Allemagne)</w:t>
            </w:r>
          </w:p>
        </w:tc>
        <w:tc>
          <w:tcPr>
            <w:tcW w:type="dxa" w:w="33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Power BI, mode importation</w:t>
            </w:r>
          </w:p>
          <w:p>
            <w:pPr>
              <w:spacing w:after="0"/>
            </w:pPr>
            <w:r>
              <w:rPr>
                <w:rFonts w:ascii="Calibri" w:cs="Calibri" w:eastAsia="Calibri" w:hAnsi="Calibri"/>
                <w:sz w:val="18"/>
                <w:szCs w:val="18"/>
              </w:rPr>
              <w:t xml:space="preserve">Constellation : faits Acheter et Acheter_Partenaire (Alltricks), dimensions partagées</w:t>
            </w:r>
          </w:p>
          <w:p>
            <w:pPr>
              <w:spacing w:after="0"/>
            </w:pPr>
            <w:r>
              <w:rPr>
                <w:rFonts w:ascii="Calibri" w:cs="Calibri" w:eastAsia="Calibri" w:hAnsi="Calibri"/>
                <w:sz w:val="18"/>
                <w:szCs w:val="18"/>
              </w:rPr>
              <w:t xml:space="preserve">Données alimentées depuis l'ED</w:t>
            </w:r>
          </w:p>
        </w:tc>
        <w:tc>
          <w:tcPr>
            <w:tcW w:type="dxa" w:w="37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Power BI</w:t>
            </w:r>
          </w:p>
          <w:p>
            <w:pPr>
              <w:spacing w:after="0"/>
            </w:pPr>
            <w:r>
              <w:rPr>
                <w:rFonts w:ascii="Calibri" w:cs="Calibri" w:eastAsia="Calibri" w:hAnsi="Calibri"/>
                <w:sz w:val="18"/>
                <w:szCs w:val="18"/>
              </w:rPr>
              <w:t xml:space="preserve">Tableaux de bord et rapports (B3, B4)</w:t>
            </w:r>
          </w:p>
          <w:p>
            <w:pPr>
              <w:spacing w:after="0"/>
            </w:pPr>
            <w:r>
              <w:rPr>
                <w:rFonts w:ascii="Calibri" w:cs="Calibri" w:eastAsia="Calibri" w:hAnsi="Calibri"/>
                <w:sz w:val="18"/>
                <w:szCs w:val="18"/>
              </w:rPr>
              <w:t xml:space="preserve">Sécurité au niveau des lignes par pays</w:t>
            </w:r>
          </w:p>
        </w:tc>
      </w:tr>
    </w:tbl>
    <w:p>
      <w:pPr>
        <w:spacing w:after="60"/>
      </w:pPr>
      <w:r>
        <w:rPr>
          <w:rFonts w:ascii="Calibri" w:cs="Calibri" w:eastAsia="Calibri" w:hAnsi="Calibri"/>
          <w:sz w:val="21"/>
          <w:szCs w:val="21"/>
        </w:rPr>
        <w:t xml:space="preserve"/>
      </w:r>
    </w:p>
    <w:p>
      <w:pPr>
        <w:spacing w:after="120"/>
      </w:pPr>
      <w:r>
        <w:rPr>
          <w:rFonts w:ascii="Calibri" w:cs="Calibri" w:eastAsia="Calibri" w:hAnsi="Calibri"/>
          <w:b/>
          <w:bCs/>
          <w:color w:val="1F4E79"/>
          <w:sz w:val="21"/>
          <w:szCs w:val="21"/>
        </w:rPr>
        <w:t xml:space="preserve">Correspondance entre besoins et magasins</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400"/>
        <w:gridCol w:w="7600"/>
        <w:gridCol w:w="4400"/>
      </w:tblGrid>
      <w:tr>
        <w:trPr>
          <w:tblHeader/>
        </w:trPr>
        <w:tc>
          <w:tcPr>
            <w:tcW w:type="dxa" w:w="2400"/>
            <w:tcBorders>
              <w:top w:val="single" w:color="8EA9C1" w:sz="4"/>
              <w:left w:val="single" w:color="8EA9C1" w:sz="4"/>
              <w:bottom w:val="single" w:color="8EA9C1" w:sz="4"/>
              <w:right w:val="single" w:color="8EA9C1" w:sz="4"/>
            </w:tcBorders>
            <w:shd w:fill="1F4E79" w:color="auto" w:val="clear"/>
            <w:tcMar>
              <w:top w:type="dxa" w:w="60"/>
              <w:left w:type="dxa" w:w="90"/>
              <w:bottom w:type="dxa" w:w="60"/>
              <w:right w:type="dxa" w:w="90"/>
            </w:tcMar>
            <w:vAlign w:val="center"/>
          </w:tcPr>
          <w:p>
            <w:pPr>
              <w:spacing w:after="0"/>
              <w:jc w:val="center"/>
            </w:pPr>
            <w:r>
              <w:rPr>
                <w:rFonts w:ascii="Calibri" w:cs="Calibri" w:eastAsia="Calibri" w:hAnsi="Calibri"/>
                <w:b/>
                <w:bCs/>
                <w:color w:val="FFFFFF"/>
                <w:sz w:val="18"/>
                <w:szCs w:val="18"/>
              </w:rPr>
              <w:t xml:space="preserve">Besoin</w:t>
            </w:r>
          </w:p>
        </w:tc>
        <w:tc>
          <w:tcPr>
            <w:tcW w:type="dxa" w:w="7600"/>
            <w:tcBorders>
              <w:top w:val="single" w:color="8EA9C1" w:sz="4"/>
              <w:left w:val="single" w:color="8EA9C1" w:sz="4"/>
              <w:bottom w:val="single" w:color="8EA9C1" w:sz="4"/>
              <w:right w:val="single" w:color="8EA9C1" w:sz="4"/>
            </w:tcBorders>
            <w:shd w:fill="1F4E79" w:color="auto" w:val="clear"/>
            <w:tcMar>
              <w:top w:type="dxa" w:w="60"/>
              <w:left w:type="dxa" w:w="90"/>
              <w:bottom w:type="dxa" w:w="60"/>
              <w:right w:type="dxa" w:w="90"/>
            </w:tcMar>
            <w:vAlign w:val="center"/>
          </w:tcPr>
          <w:p>
            <w:pPr>
              <w:spacing w:after="0"/>
              <w:jc w:val="center"/>
            </w:pPr>
            <w:r>
              <w:rPr>
                <w:rFonts w:ascii="Calibri" w:cs="Calibri" w:eastAsia="Calibri" w:hAnsi="Calibri"/>
                <w:b/>
                <w:bCs/>
                <w:color w:val="FFFFFF"/>
                <w:sz w:val="18"/>
                <w:szCs w:val="18"/>
              </w:rPr>
              <w:t xml:space="preserve">Restitutions</w:t>
            </w:r>
          </w:p>
        </w:tc>
        <w:tc>
          <w:tcPr>
            <w:tcW w:type="dxa" w:w="4400"/>
            <w:tcBorders>
              <w:top w:val="single" w:color="8EA9C1" w:sz="4"/>
              <w:left w:val="single" w:color="8EA9C1" w:sz="4"/>
              <w:bottom w:val="single" w:color="8EA9C1" w:sz="4"/>
              <w:right w:val="single" w:color="8EA9C1" w:sz="4"/>
            </w:tcBorders>
            <w:shd w:fill="1F4E79" w:color="auto" w:val="clear"/>
            <w:tcMar>
              <w:top w:type="dxa" w:w="60"/>
              <w:left w:type="dxa" w:w="90"/>
              <w:bottom w:type="dxa" w:w="60"/>
              <w:right w:type="dxa" w:w="90"/>
            </w:tcMar>
            <w:vAlign w:val="center"/>
          </w:tcPr>
          <w:p>
            <w:pPr>
              <w:spacing w:after="0"/>
              <w:jc w:val="center"/>
            </w:pPr>
            <w:r>
              <w:rPr>
                <w:rFonts w:ascii="Calibri" w:cs="Calibri" w:eastAsia="Calibri" w:hAnsi="Calibri"/>
                <w:b/>
                <w:bCs/>
                <w:color w:val="FFFFFF"/>
                <w:sz w:val="18"/>
                <w:szCs w:val="18"/>
              </w:rPr>
              <w:t xml:space="preserve">Magasin</w:t>
            </w:r>
          </w:p>
        </w:tc>
      </w:tr>
      <w:tr>
        <w:trPr>
          <w:cantSplit/>
        </w:trPr>
        <w:tc>
          <w:tcPr>
            <w:tcW w:type="dxa" w:w="2400"/>
            <w:tcBorders>
              <w:top w:val="single" w:color="8EA9C1" w:sz="4"/>
              <w:left w:val="single" w:color="8EA9C1" w:sz="4"/>
              <w:bottom w:val="single" w:color="8EA9C1" w:sz="4"/>
              <w:right w:val="single" w:color="8EA9C1" w:sz="4"/>
            </w:tcBorders>
            <w:shd w:fill="DCE6F1" w:color="auto" w:val="clear"/>
            <w:tcMar>
              <w:top w:type="dxa" w:w="60"/>
              <w:left w:type="dxa" w:w="90"/>
              <w:bottom w:type="dxa" w:w="60"/>
              <w:right w:type="dxa" w:w="90"/>
            </w:tcMar>
            <w:vAlign w:val="center"/>
          </w:tcPr>
          <w:p>
            <w:pPr>
              <w:spacing w:after="0"/>
              <w:jc w:val="center"/>
            </w:pPr>
            <w:r>
              <w:rPr>
                <w:rFonts w:ascii="Calibri" w:cs="Calibri" w:eastAsia="Calibri" w:hAnsi="Calibri"/>
                <w:b/>
                <w:bCs/>
                <w:sz w:val="18"/>
                <w:szCs w:val="18"/>
              </w:rPr>
              <w:t xml:space="preserve">B1</w:t>
            </w:r>
          </w:p>
        </w:tc>
        <w:tc>
          <w:tcPr>
            <w:tcW w:type="dxa" w:w="76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jc w:val="center"/>
            </w:pPr>
            <w:r>
              <w:rPr>
                <w:rFonts w:ascii="Calibri" w:cs="Calibri" w:eastAsia="Calibri" w:hAnsi="Calibri"/>
                <w:b w:val="false"/>
                <w:bCs w:val="false"/>
                <w:sz w:val="18"/>
                <w:szCs w:val="18"/>
              </w:rPr>
              <w:t xml:space="preserve">B1.1, B1.2, B1.3</w:t>
            </w:r>
          </w:p>
        </w:tc>
        <w:tc>
          <w:tcPr>
            <w:tcW w:type="dxa" w:w="44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jc w:val="center"/>
            </w:pPr>
            <w:r>
              <w:rPr>
                <w:rFonts w:ascii="Calibri" w:cs="Calibri" w:eastAsia="Calibri" w:hAnsi="Calibri"/>
                <w:b w:val="false"/>
                <w:bCs w:val="false"/>
                <w:sz w:val="18"/>
                <w:szCs w:val="18"/>
              </w:rPr>
              <w:t xml:space="preserve">MD1 Locations</w:t>
            </w:r>
          </w:p>
        </w:tc>
      </w:tr>
      <w:tr>
        <w:trPr>
          <w:cantSplit/>
        </w:trPr>
        <w:tc>
          <w:tcPr>
            <w:tcW w:type="dxa" w:w="2400"/>
            <w:tcBorders>
              <w:top w:val="single" w:color="8EA9C1" w:sz="4"/>
              <w:left w:val="single" w:color="8EA9C1" w:sz="4"/>
              <w:bottom w:val="single" w:color="8EA9C1" w:sz="4"/>
              <w:right w:val="single" w:color="8EA9C1" w:sz="4"/>
            </w:tcBorders>
            <w:shd w:fill="DCE6F1" w:color="auto" w:val="clear"/>
            <w:tcMar>
              <w:top w:type="dxa" w:w="60"/>
              <w:left w:type="dxa" w:w="90"/>
              <w:bottom w:type="dxa" w:w="60"/>
              <w:right w:type="dxa" w:w="90"/>
            </w:tcMar>
            <w:vAlign w:val="center"/>
          </w:tcPr>
          <w:p>
            <w:pPr>
              <w:spacing w:after="0"/>
              <w:jc w:val="center"/>
            </w:pPr>
            <w:r>
              <w:rPr>
                <w:rFonts w:ascii="Calibri" w:cs="Calibri" w:eastAsia="Calibri" w:hAnsi="Calibri"/>
                <w:b/>
                <w:bCs/>
                <w:sz w:val="18"/>
                <w:szCs w:val="18"/>
              </w:rPr>
              <w:t xml:space="preserve">B2</w:t>
            </w:r>
          </w:p>
        </w:tc>
        <w:tc>
          <w:tcPr>
            <w:tcW w:type="dxa" w:w="76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jc w:val="center"/>
            </w:pPr>
            <w:r>
              <w:rPr>
                <w:rFonts w:ascii="Calibri" w:cs="Calibri" w:eastAsia="Calibri" w:hAnsi="Calibri"/>
                <w:b w:val="false"/>
                <w:bCs w:val="false"/>
                <w:sz w:val="18"/>
                <w:szCs w:val="18"/>
              </w:rPr>
              <w:t xml:space="preserve">B2.1, B2.2, B2.3</w:t>
            </w:r>
          </w:p>
        </w:tc>
        <w:tc>
          <w:tcPr>
            <w:tcW w:type="dxa" w:w="44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jc w:val="center"/>
            </w:pPr>
            <w:r>
              <w:rPr>
                <w:rFonts w:ascii="Calibri" w:cs="Calibri" w:eastAsia="Calibri" w:hAnsi="Calibri"/>
                <w:b w:val="false"/>
                <w:bCs w:val="false"/>
                <w:sz w:val="18"/>
                <w:szCs w:val="18"/>
              </w:rPr>
              <w:t xml:space="preserve">MD1 Locations</w:t>
            </w:r>
          </w:p>
        </w:tc>
      </w:tr>
      <w:tr>
        <w:trPr>
          <w:cantSplit/>
        </w:trPr>
        <w:tc>
          <w:tcPr>
            <w:tcW w:type="dxa" w:w="2400"/>
            <w:tcBorders>
              <w:top w:val="single" w:color="8EA9C1" w:sz="4"/>
              <w:left w:val="single" w:color="8EA9C1" w:sz="4"/>
              <w:bottom w:val="single" w:color="8EA9C1" w:sz="4"/>
              <w:right w:val="single" w:color="8EA9C1" w:sz="4"/>
            </w:tcBorders>
            <w:shd w:fill="DCE6F1" w:color="auto" w:val="clear"/>
            <w:tcMar>
              <w:top w:type="dxa" w:w="60"/>
              <w:left w:type="dxa" w:w="90"/>
              <w:bottom w:type="dxa" w:w="60"/>
              <w:right w:type="dxa" w:w="90"/>
            </w:tcMar>
            <w:vAlign w:val="center"/>
          </w:tcPr>
          <w:p>
            <w:pPr>
              <w:spacing w:after="0"/>
              <w:jc w:val="center"/>
            </w:pPr>
            <w:r>
              <w:rPr>
                <w:rFonts w:ascii="Calibri" w:cs="Calibri" w:eastAsia="Calibri" w:hAnsi="Calibri"/>
                <w:b/>
                <w:bCs/>
                <w:sz w:val="18"/>
                <w:szCs w:val="18"/>
              </w:rPr>
              <w:t xml:space="preserve">B3</w:t>
            </w:r>
          </w:p>
        </w:tc>
        <w:tc>
          <w:tcPr>
            <w:tcW w:type="dxa" w:w="76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jc w:val="center"/>
            </w:pPr>
            <w:r>
              <w:rPr>
                <w:rFonts w:ascii="Calibri" w:cs="Calibri" w:eastAsia="Calibri" w:hAnsi="Calibri"/>
                <w:b w:val="false"/>
                <w:bCs w:val="false"/>
                <w:sz w:val="18"/>
                <w:szCs w:val="18"/>
              </w:rPr>
              <w:t xml:space="preserve">B3.1, B3.2, B3.3</w:t>
            </w:r>
          </w:p>
        </w:tc>
        <w:tc>
          <w:tcPr>
            <w:tcW w:type="dxa" w:w="44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jc w:val="center"/>
            </w:pPr>
            <w:r>
              <w:rPr>
                <w:rFonts w:ascii="Calibri" w:cs="Calibri" w:eastAsia="Calibri" w:hAnsi="Calibri"/>
                <w:b w:val="false"/>
                <w:bCs w:val="false"/>
                <w:sz w:val="18"/>
                <w:szCs w:val="18"/>
              </w:rPr>
              <w:t xml:space="preserve">MD2 Ventes</w:t>
            </w:r>
          </w:p>
        </w:tc>
      </w:tr>
      <w:tr>
        <w:trPr>
          <w:cantSplit/>
        </w:trPr>
        <w:tc>
          <w:tcPr>
            <w:tcW w:type="dxa" w:w="2400"/>
            <w:tcBorders>
              <w:top w:val="single" w:color="8EA9C1" w:sz="4"/>
              <w:left w:val="single" w:color="8EA9C1" w:sz="4"/>
              <w:bottom w:val="single" w:color="8EA9C1" w:sz="4"/>
              <w:right w:val="single" w:color="8EA9C1" w:sz="4"/>
            </w:tcBorders>
            <w:shd w:fill="DCE6F1" w:color="auto" w:val="clear"/>
            <w:tcMar>
              <w:top w:type="dxa" w:w="60"/>
              <w:left w:type="dxa" w:w="90"/>
              <w:bottom w:type="dxa" w:w="60"/>
              <w:right w:type="dxa" w:w="90"/>
            </w:tcMar>
            <w:vAlign w:val="center"/>
          </w:tcPr>
          <w:p>
            <w:pPr>
              <w:spacing w:after="0"/>
              <w:jc w:val="center"/>
            </w:pPr>
            <w:r>
              <w:rPr>
                <w:rFonts w:ascii="Calibri" w:cs="Calibri" w:eastAsia="Calibri" w:hAnsi="Calibri"/>
                <w:b/>
                <w:bCs/>
                <w:sz w:val="18"/>
                <w:szCs w:val="18"/>
              </w:rPr>
              <w:t xml:space="preserve">B4</w:t>
            </w:r>
          </w:p>
        </w:tc>
        <w:tc>
          <w:tcPr>
            <w:tcW w:type="dxa" w:w="76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jc w:val="center"/>
            </w:pPr>
            <w:r>
              <w:rPr>
                <w:rFonts w:ascii="Calibri" w:cs="Calibri" w:eastAsia="Calibri" w:hAnsi="Calibri"/>
                <w:b w:val="false"/>
                <w:bCs w:val="false"/>
                <w:sz w:val="18"/>
                <w:szCs w:val="18"/>
              </w:rPr>
              <w:t xml:space="preserve">B4.1, B4.2, B4.3, B4.4</w:t>
            </w:r>
          </w:p>
        </w:tc>
        <w:tc>
          <w:tcPr>
            <w:tcW w:type="dxa" w:w="44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jc w:val="center"/>
            </w:pPr>
            <w:r>
              <w:rPr>
                <w:rFonts w:ascii="Calibri" w:cs="Calibri" w:eastAsia="Calibri" w:hAnsi="Calibri"/>
                <w:b w:val="false"/>
                <w:bCs w:val="false"/>
                <w:sz w:val="18"/>
                <w:szCs w:val="18"/>
              </w:rPr>
              <w:t xml:space="preserve">MD2 Ventes</w:t>
            </w:r>
          </w:p>
        </w:tc>
      </w:tr>
    </w:tbl>
    <w:p>
      <w:pPr>
        <w:spacing w:after="60"/>
      </w:pPr>
      <w:r>
        <w:rPr>
          <w:rFonts w:ascii="Calibri" w:cs="Calibri" w:eastAsia="Calibri" w:hAnsi="Calibri"/>
          <w:sz w:val="21"/>
          <w:szCs w:val="21"/>
        </w:rPr>
        <w:t xml:space="preserve"/>
      </w:r>
    </w:p>
    <w:p>
      <w:pPr>
        <w:spacing w:after="120"/>
      </w:pPr>
      <w:r>
        <w:rPr>
          <w:rFonts w:ascii="Calibri" w:cs="Calibri" w:eastAsia="Calibri" w:hAnsi="Calibri"/>
          <w:sz w:val="20"/>
          <w:szCs w:val="20"/>
        </w:rPr>
        <w:t xml:space="preserve">Justification des outils : le responsable des locations exige des temps de réponse extrêmement rapides sur des analyses quotidiennes ; nous stockons donc des agrégats précalculés dans Oracle, au plus près de l'ED. Pour les ventes, l'environnement n'est pas imposé : nous retenons Power BI, déjà utilisé et maintenu par le service informatique de WorldMobility, ce qui limite les coûts de formation et de maintenance.</w:t>
      </w:r>
    </w:p>
    <w:p>
      <w:pPr>
        <w:pStyle w:val="Heading2"/>
        <w:pageBreakBefore/>
      </w:pPr>
      <w:r>
        <w:t xml:space="preserve">Données sources</w:t>
      </w:r>
    </w:p>
    <w:p>
      <w:pPr>
        <w:spacing w:after="120"/>
      </w:pPr>
      <w:r>
        <w:rPr>
          <w:rFonts w:ascii="Calibri" w:cs="Calibri" w:eastAsia="Calibri" w:hAnsi="Calibri"/>
          <w:sz w:val="21"/>
          <w:szCs w:val="21"/>
        </w:rPr>
        <w:t xml:space="preserve">Nous recensons ci-dessous toutes les sources nécessaires aux deux magasins, avec pour chacune la page du sujet (Projet_IDA_26_27_MobiPassV2.pdf) où elle est décrite. S5 n'est pas listée telle quelle dans le sujet : nous l'avons déduite des besoins, car le ROME, la nomenclature INSEE et le découpage administratif allemand ne figurent dans aucune base de MobiPass. Les sources S2 à S5 et S7 sont nouvelles par rapport à la première version du SAD ; S6 correspond à l'ED actuel, dont nous reprenons l'historique. Chaque source a son schéma conceptuel dans le fichier MobiPass_Conception_complet.drawio : page « 2a » pour S2 et S3, page « 2b » pour S1, S4, S5 et S7, page « 2c » pour S6. Pour S1 et S4, dont le sujet ne détaille pas le contenu, le schéma traduit une hypothèse de travail soumise au client.</w:t>
      </w:r>
    </w:p>
    <w:p>
      <w:pPr>
        <w:spacing w:after="80"/>
      </w:pPr>
      <w:r>
        <w:rPr>
          <w:rFonts w:ascii="Calibri" w:cs="Calibri" w:eastAsia="Calibri" w:hAnsi="Calibri"/>
          <w:b/>
          <w:bCs/>
          <w:color w:val="1F4E79"/>
          <w:sz w:val="21"/>
          <w:szCs w:val="21"/>
        </w:rPr>
        <w:t xml:space="preserve">Généralités</w:t>
      </w:r>
    </w:p>
    <w:tbl>
      <w:tblPr>
        <w:tblW w:type="dxa" w:w="14200"/>
        <w:tblBorders>
          <w:top w:val="single" w:color="auto" w:sz="4"/>
          <w:left w:val="single" w:color="auto" w:sz="4"/>
          <w:bottom w:val="single" w:color="auto" w:sz="4"/>
          <w:right w:val="single" w:color="auto" w:sz="4"/>
          <w:insideH w:val="single" w:color="auto" w:sz="4"/>
          <w:insideV w:val="single" w:color="auto" w:sz="4"/>
        </w:tblBorders>
      </w:tblPr>
      <w:tblGrid>
        <w:gridCol w:w="600"/>
        <w:gridCol w:w="1900"/>
        <w:gridCol w:w="3100"/>
        <w:gridCol w:w="1700"/>
        <w:gridCol w:w="1700"/>
        <w:gridCol w:w="1500"/>
        <w:gridCol w:w="1600"/>
        <w:gridCol w:w="2100"/>
      </w:tblGrid>
      <w:tr>
        <w:trPr>
          <w:tblHeader/>
        </w:trPr>
        <w:tc>
          <w:tcPr>
            <w:tcW w:type="dxa" w:w="600"/>
            <w:tcBorders>
              <w:top w:val="single" w:color="8EA9C1" w:sz="4"/>
              <w:left w:val="single" w:color="8EA9C1" w:sz="4"/>
              <w:bottom w:val="single" w:color="8EA9C1" w:sz="4"/>
              <w:right w:val="single" w:color="8EA9C1" w:sz="4"/>
            </w:tcBorders>
            <w:shd w:fill="1F4E79" w:color="auto" w:val="clear"/>
            <w:tcMar>
              <w:top w:type="dxa" w:w="60"/>
              <w:left w:type="dxa" w:w="90"/>
              <w:bottom w:type="dxa" w:w="60"/>
              <w:right w:type="dxa" w:w="90"/>
            </w:tcMar>
            <w:vAlign w:val="center"/>
          </w:tcPr>
          <w:p>
            <w:pPr>
              <w:spacing w:after="0"/>
              <w:jc w:val="center"/>
            </w:pPr>
            <w:r>
              <w:rPr>
                <w:rFonts w:ascii="Calibri" w:cs="Calibri" w:eastAsia="Calibri" w:hAnsi="Calibri"/>
                <w:b/>
                <w:bCs/>
                <w:color w:val="FFFFFF"/>
                <w:sz w:val="18"/>
                <w:szCs w:val="18"/>
              </w:rPr>
              <w:t xml:space="preserve">Réf.</w:t>
            </w:r>
          </w:p>
        </w:tc>
        <w:tc>
          <w:tcPr>
            <w:tcW w:type="dxa" w:w="1900"/>
            <w:tcBorders>
              <w:top w:val="single" w:color="8EA9C1" w:sz="4"/>
              <w:left w:val="single" w:color="8EA9C1" w:sz="4"/>
              <w:bottom w:val="single" w:color="8EA9C1" w:sz="4"/>
              <w:right w:val="single" w:color="8EA9C1" w:sz="4"/>
            </w:tcBorders>
            <w:shd w:fill="1F4E79" w:color="auto" w:val="clear"/>
            <w:tcMar>
              <w:top w:type="dxa" w:w="60"/>
              <w:left w:type="dxa" w:w="90"/>
              <w:bottom w:type="dxa" w:w="60"/>
              <w:right w:type="dxa" w:w="90"/>
            </w:tcMar>
            <w:vAlign w:val="center"/>
          </w:tcPr>
          <w:p>
            <w:pPr>
              <w:spacing w:after="0"/>
              <w:jc w:val="center"/>
            </w:pPr>
            <w:r>
              <w:rPr>
                <w:rFonts w:ascii="Calibri" w:cs="Calibri" w:eastAsia="Calibri" w:hAnsi="Calibri"/>
                <w:b/>
                <w:bCs/>
                <w:color w:val="FFFFFF"/>
                <w:sz w:val="18"/>
                <w:szCs w:val="18"/>
              </w:rPr>
              <w:t xml:space="preserve">Source</w:t>
            </w:r>
          </w:p>
        </w:tc>
        <w:tc>
          <w:tcPr>
            <w:tcW w:type="dxa" w:w="3100"/>
            <w:tcBorders>
              <w:top w:val="single" w:color="8EA9C1" w:sz="4"/>
              <w:left w:val="single" w:color="8EA9C1" w:sz="4"/>
              <w:bottom w:val="single" w:color="8EA9C1" w:sz="4"/>
              <w:right w:val="single" w:color="8EA9C1" w:sz="4"/>
            </w:tcBorders>
            <w:shd w:fill="1F4E79" w:color="auto" w:val="clear"/>
            <w:tcMar>
              <w:top w:type="dxa" w:w="60"/>
              <w:left w:type="dxa" w:w="90"/>
              <w:bottom w:type="dxa" w:w="60"/>
              <w:right w:type="dxa" w:w="90"/>
            </w:tcMar>
            <w:vAlign w:val="center"/>
          </w:tcPr>
          <w:p>
            <w:pPr>
              <w:spacing w:after="0"/>
              <w:jc w:val="center"/>
            </w:pPr>
            <w:r>
              <w:rPr>
                <w:rFonts w:ascii="Calibri" w:cs="Calibri" w:eastAsia="Calibri" w:hAnsi="Calibri"/>
                <w:b/>
                <w:bCs/>
                <w:color w:val="FFFFFF"/>
                <w:sz w:val="18"/>
                <w:szCs w:val="18"/>
              </w:rPr>
              <w:t xml:space="preserve">Description</w:t>
            </w:r>
          </w:p>
        </w:tc>
        <w:tc>
          <w:tcPr>
            <w:tcW w:type="dxa" w:w="1700"/>
            <w:tcBorders>
              <w:top w:val="single" w:color="8EA9C1" w:sz="4"/>
              <w:left w:val="single" w:color="8EA9C1" w:sz="4"/>
              <w:bottom w:val="single" w:color="8EA9C1" w:sz="4"/>
              <w:right w:val="single" w:color="8EA9C1" w:sz="4"/>
            </w:tcBorders>
            <w:shd w:fill="1F4E79" w:color="auto" w:val="clear"/>
            <w:tcMar>
              <w:top w:type="dxa" w:w="60"/>
              <w:left w:type="dxa" w:w="90"/>
              <w:bottom w:type="dxa" w:w="60"/>
              <w:right w:type="dxa" w:w="90"/>
            </w:tcMar>
            <w:vAlign w:val="center"/>
          </w:tcPr>
          <w:p>
            <w:pPr>
              <w:spacing w:after="0"/>
              <w:jc w:val="center"/>
            </w:pPr>
            <w:r>
              <w:rPr>
                <w:rFonts w:ascii="Calibri" w:cs="Calibri" w:eastAsia="Calibri" w:hAnsi="Calibri"/>
                <w:b/>
                <w:bCs/>
                <w:color w:val="FFFFFF"/>
                <w:sz w:val="18"/>
                <w:szCs w:val="18"/>
              </w:rPr>
              <w:t xml:space="preserve">Propriétaire</w:t>
            </w:r>
          </w:p>
        </w:tc>
        <w:tc>
          <w:tcPr>
            <w:tcW w:type="dxa" w:w="1700"/>
            <w:tcBorders>
              <w:top w:val="single" w:color="8EA9C1" w:sz="4"/>
              <w:left w:val="single" w:color="8EA9C1" w:sz="4"/>
              <w:bottom w:val="single" w:color="8EA9C1" w:sz="4"/>
              <w:right w:val="single" w:color="8EA9C1" w:sz="4"/>
            </w:tcBorders>
            <w:shd w:fill="1F4E79" w:color="auto" w:val="clear"/>
            <w:tcMar>
              <w:top w:type="dxa" w:w="60"/>
              <w:left w:type="dxa" w:w="90"/>
              <w:bottom w:type="dxa" w:w="60"/>
              <w:right w:type="dxa" w:w="90"/>
            </w:tcMar>
            <w:vAlign w:val="center"/>
          </w:tcPr>
          <w:p>
            <w:pPr>
              <w:spacing w:after="0"/>
              <w:jc w:val="center"/>
            </w:pPr>
            <w:r>
              <w:rPr>
                <w:rFonts w:ascii="Calibri" w:cs="Calibri" w:eastAsia="Calibri" w:hAnsi="Calibri"/>
                <w:b/>
                <w:bCs/>
                <w:color w:val="FFFFFF"/>
                <w:sz w:val="18"/>
                <w:szCs w:val="18"/>
              </w:rPr>
              <w:t xml:space="preserve">Localisation</w:t>
            </w:r>
          </w:p>
        </w:tc>
        <w:tc>
          <w:tcPr>
            <w:tcW w:type="dxa" w:w="1500"/>
            <w:tcBorders>
              <w:top w:val="single" w:color="8EA9C1" w:sz="4"/>
              <w:left w:val="single" w:color="8EA9C1" w:sz="4"/>
              <w:bottom w:val="single" w:color="8EA9C1" w:sz="4"/>
              <w:right w:val="single" w:color="8EA9C1" w:sz="4"/>
            </w:tcBorders>
            <w:shd w:fill="1F4E79" w:color="auto" w:val="clear"/>
            <w:tcMar>
              <w:top w:type="dxa" w:w="60"/>
              <w:left w:type="dxa" w:w="90"/>
              <w:bottom w:type="dxa" w:w="60"/>
              <w:right w:type="dxa" w:w="90"/>
            </w:tcMar>
            <w:vAlign w:val="center"/>
          </w:tcPr>
          <w:p>
            <w:pPr>
              <w:spacing w:after="0"/>
              <w:jc w:val="center"/>
            </w:pPr>
            <w:r>
              <w:rPr>
                <w:rFonts w:ascii="Calibri" w:cs="Calibri" w:eastAsia="Calibri" w:hAnsi="Calibri"/>
                <w:b/>
                <w:bCs/>
                <w:color w:val="FFFFFF"/>
                <w:sz w:val="18"/>
                <w:szCs w:val="18"/>
              </w:rPr>
              <w:t xml:space="preserve">Type</w:t>
            </w:r>
          </w:p>
        </w:tc>
        <w:tc>
          <w:tcPr>
            <w:tcW w:type="dxa" w:w="1600"/>
            <w:tcBorders>
              <w:top w:val="single" w:color="8EA9C1" w:sz="4"/>
              <w:left w:val="single" w:color="8EA9C1" w:sz="4"/>
              <w:bottom w:val="single" w:color="8EA9C1" w:sz="4"/>
              <w:right w:val="single" w:color="8EA9C1" w:sz="4"/>
            </w:tcBorders>
            <w:shd w:fill="1F4E79" w:color="auto" w:val="clear"/>
            <w:tcMar>
              <w:top w:type="dxa" w:w="60"/>
              <w:left w:type="dxa" w:w="90"/>
              <w:bottom w:type="dxa" w:w="60"/>
              <w:right w:type="dxa" w:w="90"/>
            </w:tcMar>
            <w:vAlign w:val="center"/>
          </w:tcPr>
          <w:p>
            <w:pPr>
              <w:spacing w:after="0"/>
              <w:jc w:val="center"/>
            </w:pPr>
            <w:r>
              <w:rPr>
                <w:rFonts w:ascii="Calibri" w:cs="Calibri" w:eastAsia="Calibri" w:hAnsi="Calibri"/>
                <w:b/>
                <w:bCs/>
                <w:color w:val="FFFFFF"/>
                <w:sz w:val="18"/>
                <w:szCs w:val="18"/>
              </w:rPr>
              <w:t xml:space="preserve">Support / fréquence</w:t>
            </w:r>
          </w:p>
        </w:tc>
        <w:tc>
          <w:tcPr>
            <w:tcW w:type="dxa" w:w="2100"/>
            <w:tcBorders>
              <w:top w:val="single" w:color="8EA9C1" w:sz="4"/>
              <w:left w:val="single" w:color="8EA9C1" w:sz="4"/>
              <w:bottom w:val="single" w:color="8EA9C1" w:sz="4"/>
              <w:right w:val="single" w:color="8EA9C1" w:sz="4"/>
            </w:tcBorders>
            <w:shd w:fill="1F4E79" w:color="auto" w:val="clear"/>
            <w:tcMar>
              <w:top w:type="dxa" w:w="60"/>
              <w:left w:type="dxa" w:w="90"/>
              <w:bottom w:type="dxa" w:w="60"/>
              <w:right w:type="dxa" w:w="90"/>
            </w:tcMar>
            <w:vAlign w:val="center"/>
          </w:tcPr>
          <w:p>
            <w:pPr>
              <w:spacing w:after="0"/>
              <w:jc w:val="center"/>
            </w:pPr>
            <w:r>
              <w:rPr>
                <w:rFonts w:ascii="Calibri" w:cs="Calibri" w:eastAsia="Calibri" w:hAnsi="Calibri"/>
                <w:b/>
                <w:bCs/>
                <w:color w:val="FFFFFF"/>
                <w:sz w:val="18"/>
                <w:szCs w:val="18"/>
              </w:rPr>
              <w:t xml:space="preserve">Référence dans le sujet</w:t>
            </w:r>
          </w:p>
        </w:tc>
      </w:tr>
      <w:tr>
        <w:trPr>
          <w:cantSplit/>
        </w:trPr>
        <w:tc>
          <w:tcPr>
            <w:tcW w:type="dxa" w:w="600"/>
            <w:tcBorders>
              <w:top w:val="single" w:color="8EA9C1" w:sz="4"/>
              <w:left w:val="single" w:color="8EA9C1" w:sz="4"/>
              <w:bottom w:val="single" w:color="8EA9C1" w:sz="4"/>
              <w:right w:val="single" w:color="8EA9C1" w:sz="4"/>
            </w:tcBorders>
            <w:shd w:fill="DCE6F1" w:color="auto" w:val="clear"/>
            <w:tcMar>
              <w:top w:type="dxa" w:w="60"/>
              <w:left w:type="dxa" w:w="90"/>
              <w:bottom w:type="dxa" w:w="60"/>
              <w:right w:type="dxa" w:w="90"/>
            </w:tcMar>
            <w:vAlign w:val="center"/>
          </w:tcPr>
          <w:p>
            <w:pPr>
              <w:spacing w:after="0"/>
              <w:jc w:val="center"/>
            </w:pPr>
            <w:r>
              <w:rPr>
                <w:rFonts w:ascii="Calibri" w:cs="Calibri" w:eastAsia="Calibri" w:hAnsi="Calibri"/>
                <w:b/>
                <w:bCs/>
                <w:sz w:val="18"/>
                <w:szCs w:val="18"/>
              </w:rPr>
              <w:t xml:space="preserve">S1</w:t>
            </w:r>
          </w:p>
        </w:tc>
        <w:tc>
          <w:tcPr>
            <w:tcW w:type="dxa" w:w="19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ERP SAP WorldMobility</w:t>
            </w:r>
          </w:p>
        </w:tc>
        <w:tc>
          <w:tcPr>
            <w:tcW w:type="dxa" w:w="31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Données transactionnelles des achats, réservations et locations des salariés.</w:t>
            </w:r>
          </w:p>
        </w:tc>
        <w:tc>
          <w:tcPr>
            <w:tcW w:type="dxa" w:w="17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WorldMobility (groupe)</w:t>
            </w:r>
          </w:p>
        </w:tc>
        <w:tc>
          <w:tcPr>
            <w:tcW w:type="dxa" w:w="17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Serveurs du groupe</w:t>
            </w:r>
          </w:p>
        </w:tc>
        <w:tc>
          <w:tcPr>
            <w:tcW w:type="dxa" w:w="15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BD relationnelle (ERP)</w:t>
            </w:r>
          </w:p>
        </w:tc>
        <w:tc>
          <w:tcPr>
            <w:tcW w:type="dxa" w:w="16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Extraction · quotidienne</w:t>
            </w:r>
          </w:p>
        </w:tc>
        <w:tc>
          <w:tcPr>
            <w:tcW w:type="dxa" w:w="21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p. 2 (Le système décisionnel en place)</w:t>
            </w:r>
          </w:p>
        </w:tc>
      </w:tr>
      <w:tr>
        <w:trPr>
          <w:cantSplit/>
        </w:trPr>
        <w:tc>
          <w:tcPr>
            <w:tcW w:type="dxa" w:w="600"/>
            <w:tcBorders>
              <w:top w:val="single" w:color="8EA9C1" w:sz="4"/>
              <w:left w:val="single" w:color="8EA9C1" w:sz="4"/>
              <w:bottom w:val="single" w:color="8EA9C1" w:sz="4"/>
              <w:right w:val="single" w:color="8EA9C1" w:sz="4"/>
            </w:tcBorders>
            <w:shd w:fill="DCE6F1" w:color="auto" w:val="clear"/>
            <w:tcMar>
              <w:top w:type="dxa" w:w="60"/>
              <w:left w:type="dxa" w:w="90"/>
              <w:bottom w:type="dxa" w:w="60"/>
              <w:right w:type="dxa" w:w="90"/>
            </w:tcMar>
            <w:vAlign w:val="center"/>
          </w:tcPr>
          <w:p>
            <w:pPr>
              <w:spacing w:after="0"/>
              <w:jc w:val="center"/>
            </w:pPr>
            <w:r>
              <w:rPr>
                <w:rFonts w:ascii="Calibri" w:cs="Calibri" w:eastAsia="Calibri" w:hAnsi="Calibri"/>
                <w:b/>
                <w:bCs/>
                <w:sz w:val="18"/>
                <w:szCs w:val="18"/>
              </w:rPr>
              <w:t xml:space="preserve">S2</w:t>
            </w:r>
          </w:p>
        </w:tc>
        <w:tc>
          <w:tcPr>
            <w:tcW w:type="dxa" w:w="19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BD de production MobiPass : catalogue et parc</w:t>
            </w:r>
          </w:p>
        </w:tc>
        <w:tc>
          <w:tcPr>
            <w:tcW w:type="dxa" w:w="31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Produits, générations, fabricants, agences, exemplaires et tarifs par pays et par période.</w:t>
            </w:r>
          </w:p>
        </w:tc>
        <w:tc>
          <w:tcPr>
            <w:tcW w:type="dxa" w:w="17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MobiPass</w:t>
            </w:r>
          </w:p>
        </w:tc>
        <w:tc>
          <w:tcPr>
            <w:tcW w:type="dxa" w:w="17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Serveur MobiPass, Lyon</w:t>
            </w:r>
          </w:p>
        </w:tc>
        <w:tc>
          <w:tcPr>
            <w:tcW w:type="dxa" w:w="15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BD Oracle</w:t>
            </w:r>
          </w:p>
        </w:tc>
        <w:tc>
          <w:tcPr>
            <w:tcW w:type="dxa" w:w="16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Accès direct · quotidienne</w:t>
            </w:r>
          </w:p>
        </w:tc>
        <w:tc>
          <w:tcPr>
            <w:tcW w:type="dxa" w:w="21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p. 2 et p. 6 (Le système de gestion du catalogue et du parc)</w:t>
            </w:r>
          </w:p>
        </w:tc>
      </w:tr>
      <w:tr>
        <w:trPr>
          <w:cantSplit/>
        </w:trPr>
        <w:tc>
          <w:tcPr>
            <w:tcW w:type="dxa" w:w="600"/>
            <w:tcBorders>
              <w:top w:val="single" w:color="8EA9C1" w:sz="4"/>
              <w:left w:val="single" w:color="8EA9C1" w:sz="4"/>
              <w:bottom w:val="single" w:color="8EA9C1" w:sz="4"/>
              <w:right w:val="single" w:color="8EA9C1" w:sz="4"/>
            </w:tcBorders>
            <w:shd w:fill="DCE6F1" w:color="auto" w:val="clear"/>
            <w:tcMar>
              <w:top w:type="dxa" w:w="60"/>
              <w:left w:type="dxa" w:w="90"/>
              <w:bottom w:type="dxa" w:w="60"/>
              <w:right w:type="dxa" w:w="90"/>
            </w:tcMar>
            <w:vAlign w:val="center"/>
          </w:tcPr>
          <w:p>
            <w:pPr>
              <w:spacing w:after="0"/>
              <w:jc w:val="center"/>
            </w:pPr>
            <w:r>
              <w:rPr>
                <w:rFonts w:ascii="Calibri" w:cs="Calibri" w:eastAsia="Calibri" w:hAnsi="Calibri"/>
                <w:b/>
                <w:bCs/>
                <w:sz w:val="18"/>
                <w:szCs w:val="18"/>
              </w:rPr>
              <w:t xml:space="preserve">S3</w:t>
            </w:r>
          </w:p>
        </w:tc>
        <w:tc>
          <w:tcPr>
            <w:tcW w:type="dxa" w:w="19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Portail RH des sociétés clientes françaises</w:t>
            </w:r>
          </w:p>
        </w:tc>
        <w:tc>
          <w:tcPr>
            <w:tcW w:type="dxa" w:w="31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Salariés inscrits par les services RH, avec leur dernier métier (codification ROME).</w:t>
            </w:r>
          </w:p>
        </w:tc>
        <w:tc>
          <w:tcPr>
            <w:tcW w:type="dxa" w:w="17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Service informatique WorldMobility</w:t>
            </w:r>
          </w:p>
        </w:tc>
        <w:tc>
          <w:tcPr>
            <w:tcW w:type="dxa" w:w="17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Portail Web</w:t>
            </w:r>
          </w:p>
        </w:tc>
        <w:tc>
          <w:tcPr>
            <w:tcW w:type="dxa" w:w="15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BD relationnelle</w:t>
            </w:r>
          </w:p>
        </w:tc>
        <w:tc>
          <w:tcPr>
            <w:tcW w:type="dxa" w:w="16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Extraction · mensuelle</w:t>
            </w:r>
          </w:p>
        </w:tc>
        <w:tc>
          <w:tcPr>
            <w:tcW w:type="dxa" w:w="21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p. 5 et 6 (Le portail RH des sociétés clientes)</w:t>
            </w:r>
          </w:p>
        </w:tc>
      </w:tr>
      <w:tr>
        <w:trPr>
          <w:cantSplit/>
        </w:trPr>
        <w:tc>
          <w:tcPr>
            <w:tcW w:type="dxa" w:w="600"/>
            <w:tcBorders>
              <w:top w:val="single" w:color="8EA9C1" w:sz="4"/>
              <w:left w:val="single" w:color="8EA9C1" w:sz="4"/>
              <w:bottom w:val="single" w:color="8EA9C1" w:sz="4"/>
              <w:right w:val="single" w:color="8EA9C1" w:sz="4"/>
            </w:tcBorders>
            <w:shd w:fill="DCE6F1" w:color="auto" w:val="clear"/>
            <w:tcMar>
              <w:top w:type="dxa" w:w="60"/>
              <w:left w:type="dxa" w:w="90"/>
              <w:bottom w:type="dxa" w:w="60"/>
              <w:right w:type="dxa" w:w="90"/>
            </w:tcMar>
            <w:vAlign w:val="center"/>
          </w:tcPr>
          <w:p>
            <w:pPr>
              <w:spacing w:after="0"/>
              <w:jc w:val="center"/>
            </w:pPr>
            <w:r>
              <w:rPr>
                <w:rFonts w:ascii="Calibri" w:cs="Calibri" w:eastAsia="Calibri" w:hAnsi="Calibri"/>
                <w:b/>
                <w:bCs/>
                <w:sz w:val="18"/>
                <w:szCs w:val="18"/>
              </w:rPr>
              <w:t xml:space="preserve">S4</w:t>
            </w:r>
          </w:p>
        </w:tc>
        <w:tc>
          <w:tcPr>
            <w:tcW w:type="dxa" w:w="19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Fichiers RH des sociétés allemandes</w:t>
            </w:r>
          </w:p>
        </w:tc>
        <w:tc>
          <w:tcPr>
            <w:tcW w:type="dxa" w:w="31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Fichier Excel envoyé par chaque société allemande : mêmes informations que le portail RH français, sans indication de métier.</w:t>
            </w:r>
          </w:p>
        </w:tc>
        <w:tc>
          <w:tcPr>
            <w:tcW w:type="dxa" w:w="17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Sociétés allemandes, via MobiPass Deutschland GmbH</w:t>
            </w:r>
          </w:p>
        </w:tc>
        <w:tc>
          <w:tcPr>
            <w:tcW w:type="dxa" w:w="17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Berlin</w:t>
            </w:r>
          </w:p>
        </w:tc>
        <w:tc>
          <w:tcPr>
            <w:tcW w:type="dxa" w:w="15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Fichier Excel</w:t>
            </w:r>
          </w:p>
        </w:tc>
        <w:tc>
          <w:tcPr>
            <w:tcW w:type="dxa" w:w="16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Dépôt de fichier · mensuel (comme le portail)</w:t>
            </w:r>
          </w:p>
        </w:tc>
        <w:tc>
          <w:tcPr>
            <w:tcW w:type="dxa" w:w="21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p. 4 (Retour d'expérience), p. 5 (dernier point du portail RH) ; entretien du 14/10</w:t>
            </w:r>
          </w:p>
        </w:tc>
      </w:tr>
      <w:tr>
        <w:trPr>
          <w:cantSplit/>
        </w:trPr>
        <w:tc>
          <w:tcPr>
            <w:tcW w:type="dxa" w:w="600"/>
            <w:tcBorders>
              <w:top w:val="single" w:color="8EA9C1" w:sz="4"/>
              <w:left w:val="single" w:color="8EA9C1" w:sz="4"/>
              <w:bottom w:val="single" w:color="8EA9C1" w:sz="4"/>
              <w:right w:val="single" w:color="8EA9C1" w:sz="4"/>
            </w:tcBorders>
            <w:shd w:fill="DCE6F1" w:color="auto" w:val="clear"/>
            <w:tcMar>
              <w:top w:type="dxa" w:w="60"/>
              <w:left w:type="dxa" w:w="90"/>
              <w:bottom w:type="dxa" w:w="60"/>
              <w:right w:type="dxa" w:w="90"/>
            </w:tcMar>
            <w:vAlign w:val="center"/>
          </w:tcPr>
          <w:p>
            <w:pPr>
              <w:spacing w:after="0"/>
              <w:jc w:val="center"/>
            </w:pPr>
            <w:r>
              <w:rPr>
                <w:rFonts w:ascii="Calibri" w:cs="Calibri" w:eastAsia="Calibri" w:hAnsi="Calibri"/>
                <w:b/>
                <w:bCs/>
                <w:sz w:val="18"/>
                <w:szCs w:val="18"/>
              </w:rPr>
              <w:t xml:space="preserve">S5</w:t>
            </w:r>
          </w:p>
        </w:tc>
        <w:tc>
          <w:tcPr>
            <w:tcW w:type="dxa" w:w="19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Référentiels externes</w:t>
            </w:r>
          </w:p>
        </w:tc>
        <w:tc>
          <w:tcPr>
            <w:tcW w:type="dxa" w:w="31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ROME (4 niveaux), NAF rév. 2 (4 niveaux retenus), type d'entreprise et catégories juridiques INSEE (3 niveaux), découpage administratif de l'Allemagne (Destatis, codes AGS).</w:t>
            </w:r>
          </w:p>
        </w:tc>
        <w:tc>
          <w:tcPr>
            <w:tcW w:type="dxa" w:w="17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France Travail, INSEE, Destatis</w:t>
            </w:r>
          </w:p>
        </w:tc>
        <w:tc>
          <w:tcPr>
            <w:tcW w:type="dxa" w:w="17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Sites Web (open data)</w:t>
            </w:r>
          </w:p>
        </w:tc>
        <w:tc>
          <w:tcPr>
            <w:tcW w:type="dxa" w:w="15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Fichiers (CSV / Excel)</w:t>
            </w:r>
          </w:p>
        </w:tc>
        <w:tc>
          <w:tcPr>
            <w:tcW w:type="dxa" w:w="16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Téléchargement · ponctuel</w:t>
            </w:r>
          </w:p>
        </w:tc>
        <w:tc>
          <w:tcPr>
            <w:tcW w:type="dxa" w:w="21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Déduction à partir des besoins : ROME p. 5, INSEE et NAF p. 6, Allemagne p. 6 et 7 (figure 2, Destatis)</w:t>
            </w:r>
          </w:p>
        </w:tc>
      </w:tr>
      <w:tr>
        <w:trPr>
          <w:cantSplit/>
        </w:trPr>
        <w:tc>
          <w:tcPr>
            <w:tcW w:type="dxa" w:w="600"/>
            <w:tcBorders>
              <w:top w:val="single" w:color="8EA9C1" w:sz="4"/>
              <w:left w:val="single" w:color="8EA9C1" w:sz="4"/>
              <w:bottom w:val="single" w:color="8EA9C1" w:sz="4"/>
              <w:right w:val="single" w:color="8EA9C1" w:sz="4"/>
            </w:tcBorders>
            <w:shd w:fill="DCE6F1" w:color="auto" w:val="clear"/>
            <w:tcMar>
              <w:top w:type="dxa" w:w="60"/>
              <w:left w:type="dxa" w:w="90"/>
              <w:bottom w:type="dxa" w:w="60"/>
              <w:right w:type="dxa" w:w="90"/>
            </w:tcMar>
            <w:vAlign w:val="center"/>
          </w:tcPr>
          <w:p>
            <w:pPr>
              <w:spacing w:after="0"/>
              <w:jc w:val="center"/>
            </w:pPr>
            <w:r>
              <w:rPr>
                <w:rFonts w:ascii="Calibri" w:cs="Calibri" w:eastAsia="Calibri" w:hAnsi="Calibri"/>
                <w:b/>
                <w:bCs/>
                <w:sz w:val="18"/>
                <w:szCs w:val="18"/>
              </w:rPr>
              <w:t xml:space="preserve">S6</w:t>
            </w:r>
          </w:p>
        </w:tc>
        <w:tc>
          <w:tcPr>
            <w:tcW w:type="dxa" w:w="19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Entrepôt de données actuel (V1)</w:t>
            </w:r>
          </w:p>
        </w:tc>
        <w:tc>
          <w:tcPr>
            <w:tcW w:type="dxa" w:w="31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Historique des achats, réservations et locations des salariés des sociétés françaises.</w:t>
            </w:r>
          </w:p>
        </w:tc>
        <w:tc>
          <w:tcPr>
            <w:tcW w:type="dxa" w:w="17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MobiPass</w:t>
            </w:r>
          </w:p>
        </w:tc>
        <w:tc>
          <w:tcPr>
            <w:tcW w:type="dxa" w:w="17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Serveur MobiPass, Lyon</w:t>
            </w:r>
          </w:p>
        </w:tc>
        <w:tc>
          <w:tcPr>
            <w:tcW w:type="dxa" w:w="15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BD Oracle 19c</w:t>
            </w:r>
          </w:p>
        </w:tc>
        <w:tc>
          <w:tcPr>
            <w:tcW w:type="dxa" w:w="16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Reprise initiale · une fois</w:t>
            </w:r>
          </w:p>
        </w:tc>
        <w:tc>
          <w:tcPr>
            <w:tcW w:type="dxa" w:w="21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p. 2 à 4 (figure 1, schéma relationnel) et annexes 1 à 3 p. 8 à 10</w:t>
            </w:r>
          </w:p>
        </w:tc>
      </w:tr>
      <w:tr>
        <w:trPr>
          <w:cantSplit/>
        </w:trPr>
        <w:tc>
          <w:tcPr>
            <w:tcW w:type="dxa" w:w="600"/>
            <w:tcBorders>
              <w:top w:val="single" w:color="8EA9C1" w:sz="4"/>
              <w:left w:val="single" w:color="8EA9C1" w:sz="4"/>
              <w:bottom w:val="single" w:color="8EA9C1" w:sz="4"/>
              <w:right w:val="single" w:color="8EA9C1" w:sz="4"/>
            </w:tcBorders>
            <w:shd w:fill="DCE6F1" w:color="auto" w:val="clear"/>
            <w:tcMar>
              <w:top w:type="dxa" w:w="60"/>
              <w:left w:type="dxa" w:w="90"/>
              <w:bottom w:type="dxa" w:w="60"/>
              <w:right w:type="dxa" w:w="90"/>
            </w:tcMar>
            <w:vAlign w:val="center"/>
          </w:tcPr>
          <w:p>
            <w:pPr>
              <w:spacing w:after="0"/>
              <w:jc w:val="center"/>
            </w:pPr>
            <w:r>
              <w:rPr>
                <w:rFonts w:ascii="Calibri" w:cs="Calibri" w:eastAsia="Calibri" w:hAnsi="Calibri"/>
                <w:b/>
                <w:bCs/>
                <w:sz w:val="18"/>
                <w:szCs w:val="18"/>
              </w:rPr>
              <w:t xml:space="preserve">S7</w:t>
            </w:r>
          </w:p>
        </w:tc>
        <w:tc>
          <w:tcPr>
            <w:tcW w:type="dxa" w:w="19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Offres partenaires Alltricks</w:t>
            </w:r>
          </w:p>
        </w:tc>
        <w:tc>
          <w:tcPr>
            <w:tcW w:type="dxa" w:w="31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Offre négociée (20 % de remise sur les pièces détachées et accessoires) et montants des achats réalisés par les employés bénéficiaires ; aucune information sur les articles.</w:t>
            </w:r>
          </w:p>
        </w:tc>
        <w:tc>
          <w:tcPr>
            <w:tcW w:type="dxa" w:w="17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Alltricks</w:t>
            </w:r>
          </w:p>
        </w:tc>
        <w:tc>
          <w:tcPr>
            <w:tcW w:type="dxa" w:w="17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Site Web du partenaire</w:t>
            </w:r>
          </w:p>
        </w:tc>
        <w:tc>
          <w:tcPr>
            <w:tcW w:type="dxa" w:w="15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Export de fichier (hypothèse)</w:t>
            </w:r>
          </w:p>
        </w:tc>
        <w:tc>
          <w:tcPr>
            <w:tcW w:type="dxa" w:w="16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Transmission · mensuelle (hypothèse)</w:t>
            </w:r>
          </w:p>
        </w:tc>
        <w:tc>
          <w:tcPr>
            <w:tcW w:type="dxa" w:w="21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p. 7 (Les offres partenaires) ; entretien du 14/10</w:t>
            </w:r>
          </w:p>
        </w:tc>
      </w:tr>
    </w:tbl>
    <w:p>
      <w:pPr>
        <w:spacing w:after="60"/>
      </w:pPr>
      <w:r>
        <w:rPr>
          <w:rFonts w:ascii="Calibri" w:cs="Calibri" w:eastAsia="Calibri" w:hAnsi="Calibri"/>
          <w:sz w:val="21"/>
          <w:szCs w:val="21"/>
        </w:rPr>
        <w:t xml:space="preserve"/>
      </w:r>
    </w:p>
    <w:p>
      <w:pPr>
        <w:spacing w:after="80"/>
      </w:pPr>
      <w:r>
        <w:rPr>
          <w:rFonts w:ascii="Calibri" w:cs="Calibri" w:eastAsia="Calibri" w:hAnsi="Calibri"/>
          <w:b/>
          <w:bCs/>
          <w:color w:val="1F4E79"/>
          <w:sz w:val="21"/>
          <w:szCs w:val="21"/>
        </w:rPr>
        <w:t xml:space="preserve">S1 : ERP SAP WorldMobility (hypothèse de travail)</w:t>
      </w:r>
    </w:p>
    <w:p>
      <w:pPr>
        <w:spacing w:after="120"/>
      </w:pPr>
      <w:r>
        <w:rPr>
          <w:rFonts w:ascii="Calibri" w:cs="Calibri" w:eastAsia="Calibri" w:hAnsi="Calibri"/>
          <w:sz w:val="20"/>
          <w:szCs w:val="20"/>
        </w:rPr>
        <w:t xml:space="preserve">Le sujet (p. 2) indique seulement que l'ED actuel est alimenté par des extractions de l'ERP SAP. Nous supposons que l'ERP fournit les mêmes données d'activité que l'ED V1 : achats (quantité), réservations (nombre d'exemplaires, date de réservation, durée prévue) et locations (durée), rattachés à un employé, un produit ou un exemplaire et une date. Hypothèse soumise au client (question 1).</w:t>
      </w:r>
    </w:p>
    <w:p>
      <w:pPr>
        <w:spacing w:after="80"/>
      </w:pPr>
      <w:r>
        <w:rPr>
          <w:rFonts w:ascii="Calibri" w:cs="Calibri" w:eastAsia="Calibri" w:hAnsi="Calibri"/>
          <w:b/>
          <w:bCs/>
          <w:color w:val="1F4E79"/>
          <w:sz w:val="21"/>
          <w:szCs w:val="21"/>
        </w:rPr>
        <w:t xml:space="preserve">S2 : BD de production MobiPass (catalogue et parc)</w:t>
      </w:r>
    </w:p>
    <w:p>
      <w:pPr>
        <w:pStyle w:val="ListParagraph"/>
        <w:numPr>
          <w:ilvl w:val="0"/>
          <w:numId w:val="2"/>
        </w:numPr>
        <w:spacing w:after="40"/>
      </w:pPr>
      <w:r>
        <w:rPr>
          <w:b/>
          <w:bCs/>
          <w:sz w:val="20"/>
          <w:szCs w:val="20"/>
        </w:rPr>
        <w:t xml:space="preserve">Produit</w:t>
      </w:r>
      <w:r>
        <w:rPr>
          <w:sz w:val="20"/>
          <w:szCs w:val="20"/>
        </w:rPr>
        <w:t xml:space="preserve">(CodeP, NomP, DescriptifP, PoidsKg, AutonomieKm, CodeGEN#)</w:t>
      </w:r>
    </w:p>
    <w:p>
      <w:pPr>
        <w:pStyle w:val="ListParagraph"/>
        <w:numPr>
          <w:ilvl w:val="0"/>
          <w:numId w:val="2"/>
        </w:numPr>
        <w:spacing w:after="40"/>
      </w:pPr>
      <w:r>
        <w:rPr>
          <w:b/>
          <w:bCs/>
          <w:sz w:val="20"/>
          <w:szCs w:val="20"/>
        </w:rPr>
        <w:t xml:space="preserve">Generation</w:t>
      </w:r>
      <w:r>
        <w:rPr>
          <w:sz w:val="20"/>
          <w:szCs w:val="20"/>
        </w:rPr>
        <w:t xml:space="preserve">(CodeGEN, NomGEN, DateSortieGEN, DateArretGEN, CodeFAB#)</w:t>
      </w:r>
    </w:p>
    <w:p>
      <w:pPr>
        <w:pStyle w:val="ListParagraph"/>
        <w:numPr>
          <w:ilvl w:val="0"/>
          <w:numId w:val="2"/>
        </w:numPr>
        <w:spacing w:after="40"/>
      </w:pPr>
      <w:r>
        <w:rPr>
          <w:b/>
          <w:bCs/>
          <w:sz w:val="20"/>
          <w:szCs w:val="20"/>
        </w:rPr>
        <w:t xml:space="preserve">Fabricant</w:t>
      </w:r>
      <w:r>
        <w:rPr>
          <w:sz w:val="20"/>
          <w:szCs w:val="20"/>
        </w:rPr>
        <w:t xml:space="preserve">(CodeFAB, NomFAB, PaysFAB)</w:t>
      </w:r>
    </w:p>
    <w:p>
      <w:pPr>
        <w:pStyle w:val="ListParagraph"/>
        <w:numPr>
          <w:ilvl w:val="0"/>
          <w:numId w:val="2"/>
        </w:numPr>
        <w:spacing w:after="40"/>
      </w:pPr>
      <w:r>
        <w:rPr>
          <w:b/>
          <w:bCs/>
          <w:sz w:val="20"/>
          <w:szCs w:val="20"/>
        </w:rPr>
        <w:t xml:space="preserve">Agence</w:t>
      </w:r>
      <w:r>
        <w:rPr>
          <w:sz w:val="20"/>
          <w:szCs w:val="20"/>
        </w:rPr>
        <w:t xml:space="preserve">(CodeAG, NomAG, VilleAG, PaysAG)</w:t>
      </w:r>
    </w:p>
    <w:p>
      <w:pPr>
        <w:pStyle w:val="ListParagraph"/>
        <w:numPr>
          <w:ilvl w:val="0"/>
          <w:numId w:val="2"/>
        </w:numPr>
        <w:spacing w:after="40"/>
      </w:pPr>
      <w:r>
        <w:rPr>
          <w:b/>
          <w:bCs/>
          <w:sz w:val="20"/>
          <w:szCs w:val="20"/>
        </w:rPr>
        <w:t xml:space="preserve">Exemplaire</w:t>
      </w:r>
      <w:r>
        <w:rPr>
          <w:sz w:val="20"/>
          <w:szCs w:val="20"/>
        </w:rPr>
        <w:t xml:space="preserve">(CodeEX, NumSerieEX, DateMiseServiceEX, DateReformeEX, CodeP#, CodeAG#)</w:t>
      </w:r>
    </w:p>
    <w:p>
      <w:pPr>
        <w:pStyle w:val="ListParagraph"/>
        <w:numPr>
          <w:ilvl w:val="0"/>
          <w:numId w:val="2"/>
        </w:numPr>
        <w:spacing w:after="40"/>
      </w:pPr>
      <w:r>
        <w:rPr>
          <w:b/>
          <w:bCs/>
          <w:sz w:val="20"/>
          <w:szCs w:val="20"/>
        </w:rPr>
        <w:t xml:space="preserve">Tarif</w:t>
      </w:r>
      <w:r>
        <w:rPr>
          <w:sz w:val="20"/>
          <w:szCs w:val="20"/>
        </w:rPr>
        <w:t xml:space="preserve">(CodeP#, PaysTarif, DateDebutTarif, DateFinTarif, Prix_loc_jour, Prix_vente, ModePrix)</w:t>
      </w:r>
    </w:p>
    <w:p>
      <w:pPr>
        <w:spacing w:after="40"/>
      </w:pPr>
      <w:r>
        <w:rPr>
          <w:rFonts w:ascii="Calibri" w:cs="Calibri" w:eastAsia="Calibri" w:hAnsi="Calibri"/>
          <w:b/>
          <w:bCs/>
          <w:sz w:val="20"/>
          <w:szCs w:val="20"/>
        </w:rPr>
        <w:t xml:space="preserve">Règles de gestion :</w:t>
      </w:r>
    </w:p>
    <w:p>
      <w:pPr>
        <w:pStyle w:val="ListParagraph"/>
        <w:numPr>
          <w:ilvl w:val="0"/>
          <w:numId w:val="2"/>
        </w:numPr>
        <w:spacing w:after="60"/>
      </w:pPr>
      <w:r>
        <w:rPr>
          <w:sz w:val="20"/>
          <w:szCs w:val="20"/>
        </w:rPr>
        <w:t xml:space="preserve">RG1 : un produit appartient à une seule génération ; une génération est conçue par un seul fabricant.</w:t>
      </w:r>
    </w:p>
    <w:p>
      <w:pPr>
        <w:pStyle w:val="ListParagraph"/>
        <w:numPr>
          <w:ilvl w:val="0"/>
          <w:numId w:val="2"/>
        </w:numPr>
        <w:spacing w:after="60"/>
      </w:pPr>
      <w:r>
        <w:rPr>
          <w:sz w:val="20"/>
          <w:szCs w:val="20"/>
        </w:rPr>
        <w:t xml:space="preserve">RG2 : le nom du fabricant ne correspond pas toujours à la marque (MarqueP) saisie dans l'ED : les deux informations sont conservées.</w:t>
      </w:r>
    </w:p>
    <w:p>
      <w:pPr>
        <w:pStyle w:val="ListParagraph"/>
        <w:numPr>
          <w:ilvl w:val="0"/>
          <w:numId w:val="2"/>
        </w:numPr>
        <w:spacing w:after="60"/>
      </w:pPr>
      <w:r>
        <w:rPr>
          <w:sz w:val="20"/>
          <w:szCs w:val="20"/>
        </w:rPr>
        <w:t xml:space="preserve">RG3 : un exemplaire est rattaché à un seul produit et à une seule agence ; sa date de réforme est vide tant qu'il est en service.</w:t>
      </w:r>
    </w:p>
    <w:p>
      <w:pPr>
        <w:pStyle w:val="ListParagraph"/>
        <w:numPr>
          <w:ilvl w:val="0"/>
          <w:numId w:val="2"/>
        </w:numPr>
        <w:spacing w:after="60"/>
      </w:pPr>
      <w:r>
        <w:rPr>
          <w:sz w:val="20"/>
          <w:szCs w:val="20"/>
        </w:rPr>
        <w:t xml:space="preserve">RG4 : un tarif est propre à un produit, un pays et une période [DateDebutTarif ; DateFinTarif]. Le tarif applicable à une opération est celui valable à sa date.</w:t>
      </w:r>
    </w:p>
    <w:p>
      <w:pPr>
        <w:pStyle w:val="ListParagraph"/>
        <w:numPr>
          <w:ilvl w:val="0"/>
          <w:numId w:val="2"/>
        </w:numPr>
        <w:spacing w:after="60"/>
      </w:pPr>
      <w:r>
        <w:rPr>
          <w:sz w:val="20"/>
          <w:szCs w:val="20"/>
        </w:rPr>
        <w:t xml:space="preserve">RG5 : les tarifs français sont exprimés TTC (TVA 20 %), les tarifs allemands HT (TVA 19 %) ; ModePrix vaut « TTC » ou « HT ».</w:t>
      </w:r>
    </w:p>
    <w:p>
      <w:pPr>
        <w:spacing w:after="80"/>
      </w:pPr>
      <w:r>
        <w:rPr>
          <w:rFonts w:ascii="Calibri" w:cs="Calibri" w:eastAsia="Calibri" w:hAnsi="Calibri"/>
          <w:b/>
          <w:bCs/>
          <w:color w:val="1F4E79"/>
          <w:sz w:val="21"/>
          <w:szCs w:val="21"/>
        </w:rPr>
        <w:t xml:space="preserve">S3 : Portail RH des sociétés clientes françaises</w:t>
      </w:r>
    </w:p>
    <w:p>
      <w:pPr>
        <w:pStyle w:val="ListParagraph"/>
        <w:numPr>
          <w:ilvl w:val="0"/>
          <w:numId w:val="2"/>
        </w:numPr>
        <w:spacing w:after="40"/>
      </w:pPr>
      <w:r>
        <w:rPr>
          <w:b/>
          <w:bCs/>
          <w:sz w:val="20"/>
          <w:szCs w:val="20"/>
        </w:rPr>
        <w:t xml:space="preserve">Salarie</w:t>
      </w:r>
      <w:r>
        <w:rPr>
          <w:sz w:val="20"/>
          <w:szCs w:val="20"/>
        </w:rPr>
        <w:t xml:space="preserve">(MatriculeSAL, SIRET#, NomSAL, PrenomSAL, DateNaissSAL, DateEntreeSAL, TypeContratSAL, CPResidenceSAL, LibelleServiceSAL, CodeAPP#)</w:t>
      </w:r>
    </w:p>
    <w:p>
      <w:pPr>
        <w:pStyle w:val="ListParagraph"/>
        <w:numPr>
          <w:ilvl w:val="0"/>
          <w:numId w:val="2"/>
        </w:numPr>
        <w:spacing w:after="40"/>
      </w:pPr>
      <w:r>
        <w:rPr>
          <w:b/>
          <w:bCs/>
          <w:sz w:val="20"/>
          <w:szCs w:val="20"/>
        </w:rPr>
        <w:t xml:space="preserve">Appellation</w:t>
      </w:r>
      <w:r>
        <w:rPr>
          <w:sz w:val="20"/>
          <w:szCs w:val="20"/>
        </w:rPr>
        <w:t xml:space="preserve">(CodeAPP, LibelleAPP, CodeROME#)</w:t>
      </w:r>
    </w:p>
    <w:p>
      <w:pPr>
        <w:pStyle w:val="ListParagraph"/>
        <w:numPr>
          <w:ilvl w:val="0"/>
          <w:numId w:val="2"/>
        </w:numPr>
        <w:spacing w:after="40"/>
      </w:pPr>
      <w:r>
        <w:rPr>
          <w:b/>
          <w:bCs/>
          <w:sz w:val="20"/>
          <w:szCs w:val="20"/>
        </w:rPr>
        <w:t xml:space="preserve">FicheMetier</w:t>
      </w:r>
      <w:r>
        <w:rPr>
          <w:sz w:val="20"/>
          <w:szCs w:val="20"/>
        </w:rPr>
        <w:t xml:space="preserve">(CodeROME, LibelleMetier, CodeDP#)</w:t>
      </w:r>
    </w:p>
    <w:p>
      <w:pPr>
        <w:pStyle w:val="ListParagraph"/>
        <w:numPr>
          <w:ilvl w:val="0"/>
          <w:numId w:val="2"/>
        </w:numPr>
        <w:spacing w:after="40"/>
      </w:pPr>
      <w:r>
        <w:rPr>
          <w:b/>
          <w:bCs/>
          <w:sz w:val="20"/>
          <w:szCs w:val="20"/>
        </w:rPr>
        <w:t xml:space="preserve">DomainePro</w:t>
      </w:r>
      <w:r>
        <w:rPr>
          <w:sz w:val="20"/>
          <w:szCs w:val="20"/>
        </w:rPr>
        <w:t xml:space="preserve">(CodeDP, LibelleDP, CodeGD#)</w:t>
      </w:r>
    </w:p>
    <w:p>
      <w:pPr>
        <w:pStyle w:val="ListParagraph"/>
        <w:numPr>
          <w:ilvl w:val="0"/>
          <w:numId w:val="2"/>
        </w:numPr>
        <w:spacing w:after="40"/>
      </w:pPr>
      <w:r>
        <w:rPr>
          <w:b/>
          <w:bCs/>
          <w:sz w:val="20"/>
          <w:szCs w:val="20"/>
        </w:rPr>
        <w:t xml:space="preserve">GrandDomaine</w:t>
      </w:r>
      <w:r>
        <w:rPr>
          <w:sz w:val="20"/>
          <w:szCs w:val="20"/>
        </w:rPr>
        <w:t xml:space="preserve">(CodeGD, LibelleGD)</w:t>
      </w:r>
    </w:p>
    <w:p>
      <w:pPr>
        <w:spacing w:after="40"/>
      </w:pPr>
      <w:r>
        <w:rPr>
          <w:rFonts w:ascii="Calibri" w:cs="Calibri" w:eastAsia="Calibri" w:hAnsi="Calibri"/>
          <w:b/>
          <w:bCs/>
          <w:sz w:val="20"/>
          <w:szCs w:val="20"/>
        </w:rPr>
        <w:t xml:space="preserve">Règles de gestion :</w:t>
      </w:r>
    </w:p>
    <w:p>
      <w:pPr>
        <w:pStyle w:val="ListParagraph"/>
        <w:numPr>
          <w:ilvl w:val="0"/>
          <w:numId w:val="2"/>
        </w:numPr>
        <w:spacing w:after="60"/>
      </w:pPr>
      <w:r>
        <w:rPr>
          <w:sz w:val="20"/>
          <w:szCs w:val="20"/>
        </w:rPr>
        <w:t xml:space="preserve">RG6 : le matricule n'est unique qu'au sein d'un établissement : un salarié est identifié par son matricule et le numéro de son établissement employeur, le SIRET (14 chiffres) en France, la Betriebsnummer (8 chiffres) en Allemagne. Le format du numéro suffit à déterminer le pays. Ce couple n'a aucun lien avec le code employé (CodeE) de l'ED : une table de correspondance est nécessaire.</w:t>
      </w:r>
    </w:p>
    <w:p>
      <w:pPr>
        <w:pStyle w:val="ListParagraph"/>
        <w:numPr>
          <w:ilvl w:val="0"/>
          <w:numId w:val="2"/>
        </w:numPr>
        <w:spacing w:after="60"/>
      </w:pPr>
      <w:r>
        <w:rPr>
          <w:sz w:val="20"/>
          <w:szCs w:val="20"/>
        </w:rPr>
        <w:t xml:space="preserve">RG7 : le libellé du service est saisi librement et ne respecte pas toujours les noms de services de l'ED : un rapprochement (nettoyage) est nécessaire.</w:t>
      </w:r>
    </w:p>
    <w:p>
      <w:pPr>
        <w:pStyle w:val="ListParagraph"/>
        <w:numPr>
          <w:ilvl w:val="0"/>
          <w:numId w:val="2"/>
        </w:numPr>
        <w:spacing w:after="60"/>
      </w:pPr>
      <w:r>
        <w:rPr>
          <w:sz w:val="20"/>
          <w:szCs w:val="20"/>
        </w:rPr>
        <w:t xml:space="preserve">RG8 : le ROME comporte 4 niveaux imbriqués : appellation → fiche métier → domaine professionnel → grand domaine.</w:t>
      </w:r>
    </w:p>
    <w:p>
      <w:pPr>
        <w:pStyle w:val="ListParagraph"/>
        <w:numPr>
          <w:ilvl w:val="0"/>
          <w:numId w:val="2"/>
        </w:numPr>
        <w:spacing w:after="60"/>
      </w:pPr>
      <w:r>
        <w:rPr>
          <w:sz w:val="20"/>
          <w:szCs w:val="20"/>
        </w:rPr>
        <w:t xml:space="preserve">RG9 : la BD ne conserve que le dernier métier ; l'ED, alimenté une fois par mois, doit historiser les métiers successifs de chaque salarié. Un salarié n'exerce qu'un seul métier à une date donnée (confirmé par le client le 14/10). Le ROME étant propre à la France, seuls les salariés français ont un métier. Si les sociétés allemandes transmettaient un jour le métier, il serait codé selon la KldB 2010 (classification allemande) ; la comparaison entre pays passerait alors par la classification internationale ISCO-08.</w:t>
      </w:r>
    </w:p>
    <w:p>
      <w:pPr>
        <w:pStyle w:val="ListParagraph"/>
        <w:numPr>
          <w:ilvl w:val="0"/>
          <w:numId w:val="2"/>
        </w:numPr>
        <w:spacing w:after="60"/>
      </w:pPr>
      <w:r>
        <w:rPr>
          <w:sz w:val="20"/>
          <w:szCs w:val="20"/>
        </w:rPr>
        <w:t xml:space="preserve">RG10 : le portail ne concerne que les sociétés françaises ; les sociétés allemandes transmettent les mêmes informations par fichier Excel (S4). Seul le mode de saisie diffère (client, 14/10).</w:t>
      </w:r>
    </w:p>
    <w:p>
      <w:pPr>
        <w:pStyle w:val="ListParagraph"/>
        <w:numPr>
          <w:ilvl w:val="0"/>
          <w:numId w:val="2"/>
        </w:numPr>
        <w:spacing w:after="60"/>
      </w:pPr>
      <w:r>
        <w:rPr>
          <w:sz w:val="20"/>
          <w:szCs w:val="20"/>
        </w:rPr>
        <w:t xml:space="preserve">RG19 : tout employé MobiPass est salarié d'une société cliente. Dans l'ED, sa fiche RH peut toutefois arriver après lui (alimentation RH mensuelle, historique de la V1, fiche en attente de rapprochement) : Correspondre est donc en 0,1 côté EMPLOYE. Un contrôle de qualité mesure chaque mois la part d'employés sans fiche RH, par société.</w:t>
      </w:r>
    </w:p>
    <w:p>
      <w:pPr>
        <w:spacing w:after="80"/>
      </w:pPr>
      <w:r>
        <w:rPr>
          <w:rFonts w:ascii="Calibri" w:cs="Calibri" w:eastAsia="Calibri" w:hAnsi="Calibri"/>
          <w:b/>
          <w:bCs/>
          <w:color w:val="1F4E79"/>
          <w:sz w:val="21"/>
          <w:szCs w:val="21"/>
        </w:rPr>
        <w:t xml:space="preserve">S4 : Fichiers salariés des sociétés allemandes</w:t>
      </w:r>
    </w:p>
    <w:p>
      <w:pPr>
        <w:spacing w:after="120"/>
      </w:pPr>
      <w:r>
        <w:rPr>
          <w:rFonts w:ascii="Calibri" w:cs="Calibri" w:eastAsia="Calibri" w:hAnsi="Calibri"/>
          <w:sz w:val="20"/>
          <w:szCs w:val="20"/>
        </w:rPr>
        <w:t xml:space="preserve">Contenu confirmé par le client (entretiens du 13/10 et du 14/10) : chaque société allemande transmet un fichier Excel contenant les mêmes informations que le portail RH français, sauf le métier. Le numéro d'établissement est allemand : nous retenons la Betriebsnummer, numéro d'établissement employeur sur 8 chiffres (hypothèse de l'équipe, le client ayant seulement indiqué que le format est différent du SIRET).</w:t>
      </w:r>
    </w:p>
    <w:p>
      <w:pPr>
        <w:pStyle w:val="ListParagraph"/>
        <w:numPr>
          <w:ilvl w:val="0"/>
          <w:numId w:val="2"/>
        </w:numPr>
        <w:spacing w:after="40"/>
      </w:pPr>
      <w:r>
        <w:rPr>
          <w:b/>
          <w:bCs/>
          <w:sz w:val="20"/>
          <w:szCs w:val="20"/>
        </w:rPr>
        <w:t xml:space="preserve">SalarieDE</w:t>
      </w:r>
      <w:r>
        <w:rPr>
          <w:sz w:val="20"/>
          <w:szCs w:val="20"/>
        </w:rPr>
        <w:t xml:space="preserve">(MatriculeSAL, Betriebsnummer, NomSAL, PrenomSAL, DateNaissSAL, DateEntreeSAL, CPResidenceSAL, LibelleServiceSAL)</w:t>
      </w:r>
    </w:p>
    <w:p>
      <w:pPr>
        <w:pStyle w:val="ListParagraph"/>
        <w:numPr>
          <w:ilvl w:val="0"/>
          <w:numId w:val="2"/>
        </w:numPr>
        <w:spacing w:after="60"/>
      </w:pPr>
      <w:r>
        <w:rPr>
          <w:sz w:val="20"/>
          <w:szCs w:val="20"/>
        </w:rPr>
        <w:t xml:space="preserve">RG11 : les fichiers allemands alimentent la même table SALARIE_RH que le portail français, sans indication de métier : la dimension métier vaut « non renseigné » pour ces salariés. Le profil de trajet est attribué par MobiPass comme en France (confirmé par le client).</w:t>
      </w:r>
    </w:p>
    <w:p>
      <w:pPr>
        <w:spacing w:after="80"/>
      </w:pPr>
      <w:r>
        <w:rPr>
          <w:rFonts w:ascii="Calibri" w:cs="Calibri" w:eastAsia="Calibri" w:hAnsi="Calibri"/>
          <w:b/>
          <w:bCs/>
          <w:color w:val="1F4E79"/>
          <w:sz w:val="21"/>
          <w:szCs w:val="21"/>
        </w:rPr>
        <w:t xml:space="preserve">S5 : Référentiels externes</w:t>
      </w:r>
    </w:p>
    <w:p>
      <w:pPr>
        <w:pStyle w:val="ListParagraph"/>
        <w:numPr>
          <w:ilvl w:val="0"/>
          <w:numId w:val="2"/>
        </w:numPr>
        <w:spacing w:after="60"/>
      </w:pPr>
      <w:r>
        <w:rPr>
          <w:sz w:val="20"/>
          <w:szCs w:val="20"/>
        </w:rPr>
        <w:t xml:space="preserve">RG12 : chaque société possède un type (microentreprise, PME, ETI, grande entreprise). Ces catégories suivent la définition européenne des entreprises selon leur taille et s'appliquent aux deux pays. Chaque société française a une catégorie juridique INSEE définie sur 3 niveaux.</w:t>
      </w:r>
    </w:p>
    <w:p>
      <w:pPr>
        <w:pStyle w:val="ListParagraph"/>
        <w:numPr>
          <w:ilvl w:val="0"/>
          <w:numId w:val="2"/>
        </w:numPr>
        <w:spacing w:after="60"/>
      </w:pPr>
      <w:r>
        <w:rPr>
          <w:sz w:val="20"/>
          <w:szCs w:val="20"/>
        </w:rPr>
        <w:t xml:space="preserve">RG13 : pour les sociétés allemandes, seule la ville est connue. Le découpage administratif est : Land → district (Regierungsbezirk, absent dans plusieurs Länder) → arrondissement (Landkreis ou kreisfreie Stadt) → commune (Gemeinde). Chaque commune a un code AGS de 8 chiffres (Destatis) : 2 pour le Land, 1 pour le district (0 s'il n'y en a pas), 2 pour l'arrondissement, 3 pour la commune. Les niveaux supérieurs se lisent dans les préfixes du code (ex. München 09162000 → Land 09, district 091, Kreis 09162). Dans l'ED, ces codes sont préfixés par DE pour ne pas se confondre avec les codes français. Plusieurs communes portent le même nom (Neustadt, Frankfurt) : le rattachement d'une ville à sa commune est à notre charge (client, 14/10) et passe par un contrôle de qualité dans la DSA, les cas ambigus étant signalés.</w:t>
      </w:r>
    </w:p>
    <w:p>
      <w:pPr>
        <w:pStyle w:val="ListParagraph"/>
        <w:numPr>
          <w:ilvl w:val="0"/>
          <w:numId w:val="2"/>
        </w:numPr>
        <w:spacing w:after="60"/>
      </w:pPr>
      <w:r>
        <w:rPr>
          <w:sz w:val="20"/>
          <w:szCs w:val="20"/>
        </w:rPr>
        <w:t xml:space="preserve">RG15 : la nomenclature des catégories juridiques INSEE est propre à la France. Les formes juridiques allemandes (GmbH, UG, AG, KG, OHG, GmbH &amp; Co. KG, GbR, e.K.) sont ajoutées dans la même hiérarchie à 3 niveaux, avec des codes préfixés par D (ex. D → D1 Kapitalgesellschaften → D101 GmbH).</w:t>
      </w:r>
    </w:p>
    <w:p>
      <w:pPr>
        <w:pStyle w:val="ListParagraph"/>
        <w:numPr>
          <w:ilvl w:val="0"/>
          <w:numId w:val="2"/>
        </w:numPr>
        <w:spacing w:after="60"/>
      </w:pPr>
      <w:r>
        <w:rPr>
          <w:sz w:val="20"/>
          <w:szCs w:val="20"/>
        </w:rPr>
        <w:t xml:space="preserve">RG16 : le code société est le SIREN (9 chiffres) pour une société française et le numéro de TVA intracommunautaire USt-IdNr (DE + 9 chiffres) pour une société allemande. Les deux formats sont distincts : le code indique le pays de la société.</w:t>
      </w:r>
    </w:p>
    <w:p>
      <w:pPr>
        <w:pStyle w:val="ListParagraph"/>
        <w:numPr>
          <w:ilvl w:val="0"/>
          <w:numId w:val="2"/>
        </w:numPr>
        <w:spacing w:after="60"/>
      </w:pPr>
      <w:r>
        <w:rPr>
          <w:sz w:val="20"/>
          <w:szCs w:val="20"/>
        </w:rPr>
        <w:t xml:space="preserve">RG17 : le domaine d'activité suit la nomenclature NAF rév. 2 de l'INSEE. Sur les 5 niveaux du fichier, nous en retenons 4 (réponse du client du 14/10) : division (62) → groupe (62.0) → classe (62.01) → sous-classe (62.01Z). Les sociétés allemandes n'ont pas de code NAF.</w:t>
      </w:r>
    </w:p>
    <w:p>
      <w:pPr>
        <w:spacing w:after="80"/>
      </w:pPr>
      <w:r>
        <w:rPr>
          <w:rFonts w:ascii="Calibri" w:cs="Calibri" w:eastAsia="Calibri" w:hAnsi="Calibri"/>
          <w:b/>
          <w:bCs/>
          <w:color w:val="1F4E79"/>
          <w:sz w:val="21"/>
          <w:szCs w:val="21"/>
        </w:rPr>
        <w:t xml:space="preserve">S6 : Entrepôt de données actuel (V1)</w:t>
      </w:r>
    </w:p>
    <w:p>
      <w:pPr>
        <w:spacing w:after="120"/>
      </w:pPr>
      <w:r>
        <w:rPr>
          <w:rFonts w:ascii="Calibri" w:cs="Calibri" w:eastAsia="Calibri" w:hAnsi="Calibri"/>
          <w:sz w:val="20"/>
          <w:szCs w:val="20"/>
        </w:rPr>
        <w:t xml:space="preserve">Schéma conceptuel et relationnel fournis par le sujet (figure 1 p. 3, schéma relationnel p. 3-4, dictionnaire en annexe 1). Il est reproduit page « 2c » du draw.io et sert de point de départ à l'ED V2.</w:t>
      </w:r>
    </w:p>
    <w:p>
      <w:pPr>
        <w:pStyle w:val="ListParagraph"/>
        <w:numPr>
          <w:ilvl w:val="0"/>
          <w:numId w:val="2"/>
        </w:numPr>
        <w:spacing w:after="60"/>
      </w:pPr>
      <w:r>
        <w:rPr>
          <w:sz w:val="20"/>
          <w:szCs w:val="20"/>
        </w:rPr>
        <w:t xml:space="preserve">RG14 (règle proposée par l'équipe, le client nous ayant laissé le choix le 14/10) : les affectations des employés aux services sont historisées (date de début, date de fin). Un employé n'appartient qu'à un seul service à une date donnée. Le lien EMPLOYE.CodeSE de la V1 est conservé et représente le service actuel.</w:t>
      </w:r>
    </w:p>
    <w:p>
      <w:pPr>
        <w:spacing w:after="80"/>
      </w:pPr>
      <w:r>
        <w:rPr>
          <w:rFonts w:ascii="Calibri" w:cs="Calibri" w:eastAsia="Calibri" w:hAnsi="Calibri"/>
          <w:b/>
          <w:bCs/>
          <w:color w:val="1F4E79"/>
          <w:sz w:val="21"/>
          <w:szCs w:val="21"/>
        </w:rPr>
        <w:t xml:space="preserve">S7 : Offres partenaires Alltricks</w:t>
      </w:r>
    </w:p>
    <w:p>
      <w:pPr>
        <w:spacing w:after="120"/>
      </w:pPr>
      <w:r>
        <w:rPr>
          <w:rFonts w:ascii="Calibri" w:cs="Calibri" w:eastAsia="Calibri" w:hAnsi="Calibri"/>
          <w:sz w:val="20"/>
          <w:szCs w:val="20"/>
        </w:rPr>
        <w:t xml:space="preserve">Source intégrée au périmètre (entretien du 14/10) : le client attend que nous montrions comment intégrer ces offres, qui ne sont pas des produits gérés par MobiPass. Nous ne disposons d'aucune information sur les articles vendus par Alltricks : nous ne modélisons donc pas de catalogue. Modélisation (page « 2b ») : un partenaire accorde une remise négociée (20 %) ; pour chaque employé bénéficiaire, le partenaire nous transmet le montant de ses achats par jour (hypothèse de l'équipe).</w:t>
      </w:r>
    </w:p>
    <w:p>
      <w:pPr>
        <w:pStyle w:val="ListParagraph"/>
        <w:numPr>
          <w:ilvl w:val="0"/>
          <w:numId w:val="2"/>
        </w:numPr>
        <w:spacing w:after="40"/>
      </w:pPr>
      <w:r>
        <w:rPr>
          <w:b/>
          <w:bCs/>
          <w:sz w:val="20"/>
          <w:szCs w:val="20"/>
        </w:rPr>
        <w:t xml:space="preserve">Partenaire</w:t>
      </w:r>
      <w:r>
        <w:rPr>
          <w:sz w:val="20"/>
          <w:szCs w:val="20"/>
        </w:rPr>
        <w:t xml:space="preserve">(CodePartenaire, NomPartenaire, TauxRemise)</w:t>
      </w:r>
    </w:p>
    <w:p>
      <w:pPr>
        <w:pStyle w:val="ListParagraph"/>
        <w:numPr>
          <w:ilvl w:val="0"/>
          <w:numId w:val="2"/>
        </w:numPr>
        <w:spacing w:after="40"/>
      </w:pPr>
      <w:r>
        <w:rPr>
          <w:b/>
          <w:bCs/>
          <w:sz w:val="20"/>
          <w:szCs w:val="20"/>
        </w:rPr>
        <w:t xml:space="preserve">AchatPartenaire</w:t>
      </w:r>
      <w:r>
        <w:rPr>
          <w:sz w:val="20"/>
          <w:szCs w:val="20"/>
        </w:rPr>
        <w:t xml:space="preserve">(CodeE#, CodePartenaire#, DateAP, MontantAchat)</w:t>
      </w:r>
    </w:p>
    <w:p>
      <w:pPr>
        <w:pStyle w:val="ListParagraph"/>
        <w:numPr>
          <w:ilvl w:val="0"/>
          <w:numId w:val="2"/>
        </w:numPr>
        <w:spacing w:after="60"/>
      </w:pPr>
      <w:r>
        <w:rPr>
          <w:sz w:val="20"/>
          <w:szCs w:val="20"/>
        </w:rPr>
        <w:t xml:space="preserve">RG18 : les achats chez un partenaire sont distincts des achats de produits MobiPass : sans détail des articles, seul le montant payé est connu (une quantité n'aurait pas de sens sans article) ; la remise est fixe, portée par le partenaire, et ne dépend ni de la gamme ni du profil de trajet (pas de lien avec REDUCTION).</w:t>
      </w:r>
    </w:p>
    <w:p>
      <w:pPr>
        <w:spacing w:after="80"/>
      </w:pPr>
      <w:r>
        <w:rPr>
          <w:rFonts w:ascii="Calibri" w:cs="Calibri" w:eastAsia="Calibri" w:hAnsi="Calibri"/>
          <w:b/>
          <w:bCs/>
          <w:color w:val="1F4E79"/>
          <w:sz w:val="21"/>
          <w:szCs w:val="21"/>
        </w:rPr>
        <w:t xml:space="preserve">Dictionnaire des nouvelles données (extrait)</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gridCol w:w="1600"/>
        <w:gridCol w:w="3800"/>
      </w:tblGrid>
      <w:tr>
        <w:trPr>
          <w:tblHeader/>
        </w:trPr>
        <w:tc>
          <w:tcPr>
            <w:tcW w:type="dxa" w:w="2600"/>
            <w:tcBorders>
              <w:top w:val="single" w:color="8EA9C1" w:sz="4"/>
              <w:left w:val="single" w:color="8EA9C1" w:sz="4"/>
              <w:bottom w:val="single" w:color="8EA9C1" w:sz="4"/>
              <w:right w:val="single" w:color="8EA9C1" w:sz="4"/>
            </w:tcBorders>
            <w:shd w:fill="1F4E79" w:color="auto" w:val="clear"/>
            <w:tcMar>
              <w:top w:type="dxa" w:w="60"/>
              <w:left w:type="dxa" w:w="90"/>
              <w:bottom w:type="dxa" w:w="60"/>
              <w:right w:type="dxa" w:w="90"/>
            </w:tcMar>
            <w:vAlign w:val="center"/>
          </w:tcPr>
          <w:p>
            <w:pPr>
              <w:spacing w:after="0"/>
              <w:jc w:val="center"/>
            </w:pPr>
            <w:r>
              <w:rPr>
                <w:rFonts w:ascii="Calibri" w:cs="Calibri" w:eastAsia="Calibri" w:hAnsi="Calibri"/>
                <w:b/>
                <w:bCs/>
                <w:color w:val="FFFFFF"/>
                <w:sz w:val="18"/>
                <w:szCs w:val="18"/>
              </w:rPr>
              <w:t xml:space="preserve">Nom du champ</w:t>
            </w:r>
          </w:p>
        </w:tc>
        <w:tc>
          <w:tcPr>
            <w:tcW w:type="dxa" w:w="6400"/>
            <w:tcBorders>
              <w:top w:val="single" w:color="8EA9C1" w:sz="4"/>
              <w:left w:val="single" w:color="8EA9C1" w:sz="4"/>
              <w:bottom w:val="single" w:color="8EA9C1" w:sz="4"/>
              <w:right w:val="single" w:color="8EA9C1" w:sz="4"/>
            </w:tcBorders>
            <w:shd w:fill="1F4E79" w:color="auto" w:val="clear"/>
            <w:tcMar>
              <w:top w:type="dxa" w:w="60"/>
              <w:left w:type="dxa" w:w="90"/>
              <w:bottom w:type="dxa" w:w="60"/>
              <w:right w:type="dxa" w:w="90"/>
            </w:tcMar>
            <w:vAlign w:val="center"/>
          </w:tcPr>
          <w:p>
            <w:pPr>
              <w:spacing w:after="0"/>
              <w:jc w:val="center"/>
            </w:pPr>
            <w:r>
              <w:rPr>
                <w:rFonts w:ascii="Calibri" w:cs="Calibri" w:eastAsia="Calibri" w:hAnsi="Calibri"/>
                <w:b/>
                <w:bCs/>
                <w:color w:val="FFFFFF"/>
                <w:sz w:val="18"/>
                <w:szCs w:val="18"/>
              </w:rPr>
              <w:t xml:space="preserve">Description</w:t>
            </w:r>
          </w:p>
        </w:tc>
        <w:tc>
          <w:tcPr>
            <w:tcW w:type="dxa" w:w="1600"/>
            <w:tcBorders>
              <w:top w:val="single" w:color="8EA9C1" w:sz="4"/>
              <w:left w:val="single" w:color="8EA9C1" w:sz="4"/>
              <w:bottom w:val="single" w:color="8EA9C1" w:sz="4"/>
              <w:right w:val="single" w:color="8EA9C1" w:sz="4"/>
            </w:tcBorders>
            <w:shd w:fill="1F4E79" w:color="auto" w:val="clear"/>
            <w:tcMar>
              <w:top w:type="dxa" w:w="60"/>
              <w:left w:type="dxa" w:w="90"/>
              <w:bottom w:type="dxa" w:w="60"/>
              <w:right w:type="dxa" w:w="90"/>
            </w:tcMar>
            <w:vAlign w:val="center"/>
          </w:tcPr>
          <w:p>
            <w:pPr>
              <w:spacing w:after="0"/>
              <w:jc w:val="center"/>
            </w:pPr>
            <w:r>
              <w:rPr>
                <w:rFonts w:ascii="Calibri" w:cs="Calibri" w:eastAsia="Calibri" w:hAnsi="Calibri"/>
                <w:b/>
                <w:bCs/>
                <w:color w:val="FFFFFF"/>
                <w:sz w:val="18"/>
                <w:szCs w:val="18"/>
              </w:rPr>
              <w:t xml:space="preserve">Type</w:t>
            </w:r>
          </w:p>
        </w:tc>
        <w:tc>
          <w:tcPr>
            <w:tcW w:type="dxa" w:w="3800"/>
            <w:tcBorders>
              <w:top w:val="single" w:color="8EA9C1" w:sz="4"/>
              <w:left w:val="single" w:color="8EA9C1" w:sz="4"/>
              <w:bottom w:val="single" w:color="8EA9C1" w:sz="4"/>
              <w:right w:val="single" w:color="8EA9C1" w:sz="4"/>
            </w:tcBorders>
            <w:shd w:fill="1F4E79" w:color="auto" w:val="clear"/>
            <w:tcMar>
              <w:top w:type="dxa" w:w="60"/>
              <w:left w:type="dxa" w:w="90"/>
              <w:bottom w:type="dxa" w:w="60"/>
              <w:right w:type="dxa" w:w="90"/>
            </w:tcMar>
            <w:vAlign w:val="center"/>
          </w:tcPr>
          <w:p>
            <w:pPr>
              <w:spacing w:after="0"/>
              <w:jc w:val="center"/>
            </w:pPr>
            <w:r>
              <w:rPr>
                <w:rFonts w:ascii="Calibri" w:cs="Calibri" w:eastAsia="Calibri" w:hAnsi="Calibri"/>
                <w:b/>
                <w:bCs/>
                <w:color w:val="FFFFFF"/>
                <w:sz w:val="18"/>
                <w:szCs w:val="18"/>
              </w:rPr>
              <w:t xml:space="preserve">Contrainte</w:t>
            </w:r>
          </w:p>
        </w:tc>
      </w:tr>
      <w:tr>
        <w:trPr>
          <w:cantSplit/>
        </w:trPr>
        <w:tc>
          <w:tcPr>
            <w:tcW w:type="dxa" w:w="26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bCs/>
                <w:sz w:val="18"/>
                <w:szCs w:val="18"/>
              </w:rPr>
              <w:t xml:space="preserve">CodeGEN / NomGEN</w:t>
            </w:r>
          </w:p>
        </w:tc>
        <w:tc>
          <w:tcPr>
            <w:tcW w:type="dxa" w:w="64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Code et nom d'une génération de produit</w:t>
            </w:r>
          </w:p>
        </w:tc>
        <w:tc>
          <w:tcPr>
            <w:tcW w:type="dxa" w:w="16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CC(10) / CC(50)</w:t>
            </w:r>
          </w:p>
        </w:tc>
        <w:tc>
          <w:tcPr>
            <w:tcW w:type="dxa" w:w="38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
            </w:r>
          </w:p>
        </w:tc>
      </w:tr>
      <w:tr>
        <w:trPr>
          <w:cantSplit/>
        </w:trPr>
        <w:tc>
          <w:tcPr>
            <w:tcW w:type="dxa" w:w="26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bCs/>
                <w:sz w:val="18"/>
                <w:szCs w:val="18"/>
              </w:rPr>
              <w:t xml:space="preserve">DateSortieGEN / DateArretGEN</w:t>
            </w:r>
          </w:p>
        </w:tc>
        <w:tc>
          <w:tcPr>
            <w:tcW w:type="dxa" w:w="64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Dates de sortie et d'arrêt de commercialisation d'une génération</w:t>
            </w:r>
          </w:p>
        </w:tc>
        <w:tc>
          <w:tcPr>
            <w:tcW w:type="dxa" w:w="16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Date</w:t>
            </w:r>
          </w:p>
        </w:tc>
        <w:tc>
          <w:tcPr>
            <w:tcW w:type="dxa" w:w="38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DateArretGEN &gt; DateSortieGEN</w:t>
            </w:r>
          </w:p>
        </w:tc>
      </w:tr>
      <w:tr>
        <w:trPr>
          <w:cantSplit/>
        </w:trPr>
        <w:tc>
          <w:tcPr>
            <w:tcW w:type="dxa" w:w="26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bCs/>
                <w:sz w:val="18"/>
                <w:szCs w:val="18"/>
              </w:rPr>
              <w:t xml:space="preserve">CodeFAB / NomFAB / PaysFAB</w:t>
            </w:r>
          </w:p>
        </w:tc>
        <w:tc>
          <w:tcPr>
            <w:tcW w:type="dxa" w:w="64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Fabricant d'une génération</w:t>
            </w:r>
          </w:p>
        </w:tc>
        <w:tc>
          <w:tcPr>
            <w:tcW w:type="dxa" w:w="16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CC(10) / CC(50) / CC(50)</w:t>
            </w:r>
          </w:p>
        </w:tc>
        <w:tc>
          <w:tcPr>
            <w:tcW w:type="dxa" w:w="38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
            </w:r>
          </w:p>
        </w:tc>
      </w:tr>
      <w:tr>
        <w:trPr>
          <w:cantSplit/>
        </w:trPr>
        <w:tc>
          <w:tcPr>
            <w:tcW w:type="dxa" w:w="26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bCs/>
                <w:sz w:val="18"/>
                <w:szCs w:val="18"/>
              </w:rPr>
              <w:t xml:space="preserve">CodeAG / NomAG / VilleAG / PaysAG</w:t>
            </w:r>
          </w:p>
        </w:tc>
        <w:tc>
          <w:tcPr>
            <w:tcW w:type="dxa" w:w="64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Agence de rattachement d'un exemplaire</w:t>
            </w:r>
          </w:p>
        </w:tc>
        <w:tc>
          <w:tcPr>
            <w:tcW w:type="dxa" w:w="16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CC(10) / CC(50)</w:t>
            </w:r>
          </w:p>
        </w:tc>
        <w:tc>
          <w:tcPr>
            <w:tcW w:type="dxa" w:w="38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PaysAG ∈ {France, Allemagne}</w:t>
            </w:r>
          </w:p>
        </w:tc>
      </w:tr>
      <w:tr>
        <w:trPr>
          <w:cantSplit/>
        </w:trPr>
        <w:tc>
          <w:tcPr>
            <w:tcW w:type="dxa" w:w="26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bCs/>
                <w:sz w:val="18"/>
                <w:szCs w:val="18"/>
              </w:rPr>
              <w:t xml:space="preserve">DateMiseServiceEX / DateReformeEX</w:t>
            </w:r>
          </w:p>
        </w:tc>
        <w:tc>
          <w:tcPr>
            <w:tcW w:type="dxa" w:w="64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Dates de mise en service et de réforme d'un exemplaire</w:t>
            </w:r>
          </w:p>
        </w:tc>
        <w:tc>
          <w:tcPr>
            <w:tcW w:type="dxa" w:w="16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Date</w:t>
            </w:r>
          </w:p>
        </w:tc>
        <w:tc>
          <w:tcPr>
            <w:tcW w:type="dxa" w:w="38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DateReformeEX &gt; DateMiseServiceEX ou vide</w:t>
            </w:r>
          </w:p>
        </w:tc>
      </w:tr>
      <w:tr>
        <w:trPr>
          <w:cantSplit/>
        </w:trPr>
        <w:tc>
          <w:tcPr>
            <w:tcW w:type="dxa" w:w="26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bCs/>
                <w:sz w:val="18"/>
                <w:szCs w:val="18"/>
              </w:rPr>
              <w:t xml:space="preserve">PaysTarif</w:t>
            </w:r>
          </w:p>
        </w:tc>
        <w:tc>
          <w:tcPr>
            <w:tcW w:type="dxa" w:w="64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Pays d'application d'un tarif</w:t>
            </w:r>
          </w:p>
        </w:tc>
        <w:tc>
          <w:tcPr>
            <w:tcW w:type="dxa" w:w="16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CC(2)</w:t>
            </w:r>
          </w:p>
        </w:tc>
        <w:tc>
          <w:tcPr>
            <w:tcW w:type="dxa" w:w="38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 {FR, DE}</w:t>
            </w:r>
          </w:p>
        </w:tc>
      </w:tr>
      <w:tr>
        <w:trPr>
          <w:cantSplit/>
        </w:trPr>
        <w:tc>
          <w:tcPr>
            <w:tcW w:type="dxa" w:w="26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bCs/>
                <w:sz w:val="18"/>
                <w:szCs w:val="18"/>
              </w:rPr>
              <w:t xml:space="preserve">DateDebutTarif / DateFinTarif</w:t>
            </w:r>
          </w:p>
        </w:tc>
        <w:tc>
          <w:tcPr>
            <w:tcW w:type="dxa" w:w="64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Période de validité d'un tarif</w:t>
            </w:r>
          </w:p>
        </w:tc>
        <w:tc>
          <w:tcPr>
            <w:tcW w:type="dxa" w:w="16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Date</w:t>
            </w:r>
          </w:p>
        </w:tc>
        <w:tc>
          <w:tcPr>
            <w:tcW w:type="dxa" w:w="38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DateFinTarif &gt; DateDebutTarif ou vide</w:t>
            </w:r>
          </w:p>
        </w:tc>
      </w:tr>
      <w:tr>
        <w:trPr>
          <w:cantSplit/>
        </w:trPr>
        <w:tc>
          <w:tcPr>
            <w:tcW w:type="dxa" w:w="26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bCs/>
                <w:sz w:val="18"/>
                <w:szCs w:val="18"/>
              </w:rPr>
              <w:t xml:space="preserve">ModePrix</w:t>
            </w:r>
          </w:p>
        </w:tc>
        <w:tc>
          <w:tcPr>
            <w:tcW w:type="dxa" w:w="64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Mode d'expression du prix</w:t>
            </w:r>
          </w:p>
        </w:tc>
        <w:tc>
          <w:tcPr>
            <w:tcW w:type="dxa" w:w="16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CC(3)</w:t>
            </w:r>
          </w:p>
        </w:tc>
        <w:tc>
          <w:tcPr>
            <w:tcW w:type="dxa" w:w="38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 {HT, TTC}</w:t>
            </w:r>
          </w:p>
        </w:tc>
      </w:tr>
      <w:tr>
        <w:trPr>
          <w:cantSplit/>
        </w:trPr>
        <w:tc>
          <w:tcPr>
            <w:tcW w:type="dxa" w:w="26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bCs/>
                <w:sz w:val="18"/>
                <w:szCs w:val="18"/>
              </w:rPr>
              <w:t xml:space="preserve">MatriculeSAL / NumEtab</w:t>
            </w:r>
          </w:p>
        </w:tc>
        <w:tc>
          <w:tcPr>
            <w:tcW w:type="dxa" w:w="64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Matricule SIRH d'un salarié, unique dans son établissement ; NumEtab = SIRET (FR) ou Betriebsnummer (DE)</w:t>
            </w:r>
          </w:p>
        </w:tc>
        <w:tc>
          <w:tcPr>
            <w:tcW w:type="dxa" w:w="16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CC(20) / CC(14)</w:t>
            </w:r>
          </w:p>
        </w:tc>
        <w:tc>
          <w:tcPr>
            <w:tcW w:type="dxa" w:w="38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Clé composée ; 14 ou 8 chiffres</w:t>
            </w:r>
          </w:p>
        </w:tc>
      </w:tr>
      <w:tr>
        <w:trPr>
          <w:cantSplit/>
        </w:trPr>
        <w:tc>
          <w:tcPr>
            <w:tcW w:type="dxa" w:w="26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bCs/>
                <w:sz w:val="18"/>
                <w:szCs w:val="18"/>
              </w:rPr>
              <w:t xml:space="preserve">TauxRemise / MontantAchat</w:t>
            </w:r>
          </w:p>
        </w:tc>
        <w:tc>
          <w:tcPr>
            <w:tcW w:type="dxa" w:w="64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Remise négociée avec un partenaire ; montant payé par un employé chez le partenaire un jour donné</w:t>
            </w:r>
          </w:p>
        </w:tc>
        <w:tc>
          <w:tcPr>
            <w:tcW w:type="dxa" w:w="16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Réel / Réel</w:t>
            </w:r>
          </w:p>
        </w:tc>
        <w:tc>
          <w:tcPr>
            <w:tcW w:type="dxa" w:w="38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0 &lt; TauxRemise &lt; 1 ; MontantAchat &gt; 0</w:t>
            </w:r>
          </w:p>
        </w:tc>
      </w:tr>
      <w:tr>
        <w:trPr>
          <w:cantSplit/>
        </w:trPr>
        <w:tc>
          <w:tcPr>
            <w:tcW w:type="dxa" w:w="26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bCs/>
                <w:sz w:val="18"/>
                <w:szCs w:val="18"/>
              </w:rPr>
              <w:t xml:space="preserve">TypeContratSAL</w:t>
            </w:r>
          </w:p>
        </w:tc>
        <w:tc>
          <w:tcPr>
            <w:tcW w:type="dxa" w:w="64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Type de contrat d'un salarié</w:t>
            </w:r>
          </w:p>
        </w:tc>
        <w:tc>
          <w:tcPr>
            <w:tcW w:type="dxa" w:w="16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CC(20)</w:t>
            </w:r>
          </w:p>
        </w:tc>
        <w:tc>
          <w:tcPr>
            <w:tcW w:type="dxa" w:w="38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ex. CDI, CDD, alternance</w:t>
            </w:r>
          </w:p>
        </w:tc>
      </w:tr>
      <w:tr>
        <w:trPr>
          <w:cantSplit/>
        </w:trPr>
        <w:tc>
          <w:tcPr>
            <w:tcW w:type="dxa" w:w="26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bCs/>
                <w:sz w:val="18"/>
                <w:szCs w:val="18"/>
              </w:rPr>
              <w:t xml:space="preserve">CodeAPP / CodeROME / CodeDP / CodeGD</w:t>
            </w:r>
          </w:p>
        </w:tc>
        <w:tc>
          <w:tcPr>
            <w:tcW w:type="dxa" w:w="64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Codes des 4 niveaux du ROME</w:t>
            </w:r>
          </w:p>
        </w:tc>
        <w:tc>
          <w:tcPr>
            <w:tcW w:type="dxa" w:w="16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CC(6) / CC(5) / CC(3) / CC(1)</w:t>
            </w:r>
          </w:p>
        </w:tc>
        <w:tc>
          <w:tcPr>
            <w:tcW w:type="dxa" w:w="38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ex. M1805 / M18 / M</w:t>
            </w:r>
          </w:p>
        </w:tc>
      </w:tr>
    </w:tbl>
    <w:p>
      <w:pPr>
        <w:pStyle w:val="Heading2"/>
        <w:pageBreakBefore/>
      </w:pPr>
      <w:r>
        <w:t xml:space="preserve">Architecture globale du SAD</w:t>
      </w:r>
    </w:p>
    <w:p>
      <w:pPr>
        <w:spacing w:after="80"/>
      </w:pPr>
      <w:r>
        <w:rPr>
          <w:rFonts w:ascii="Calibri" w:cs="Calibri" w:eastAsia="Calibri" w:hAnsi="Calibri"/>
          <w:b/>
          <w:bCs/>
          <w:color w:val="1F4E79"/>
          <w:sz w:val="21"/>
          <w:szCs w:val="21"/>
        </w:rPr>
        <w:t xml:space="preserve">Tableau de correspondance sources / magasins</w:t>
      </w:r>
    </w:p>
    <w:tbl>
      <w:tblPr>
        <w:tblW w:type="dxa" w:w="1240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400"/>
        <w:gridCol w:w="1400"/>
        <w:gridCol w:w="1400"/>
        <w:gridCol w:w="1400"/>
        <w:gridCol w:w="1400"/>
        <w:gridCol w:w="1400"/>
      </w:tblGrid>
      <w:tr>
        <w:trPr>
          <w:tblHeader/>
        </w:trPr>
        <w:tc>
          <w:tcPr>
            <w:tcW w:type="dxa" w:w="2600"/>
            <w:tcBorders>
              <w:top w:val="single" w:color="8EA9C1" w:sz="4"/>
              <w:left w:val="single" w:color="8EA9C1" w:sz="4"/>
              <w:bottom w:val="single" w:color="8EA9C1" w:sz="4"/>
              <w:right w:val="single" w:color="8EA9C1" w:sz="4"/>
            </w:tcBorders>
            <w:shd w:fill="1F4E79" w:color="auto" w:val="clear"/>
            <w:tcMar>
              <w:top w:type="dxa" w:w="60"/>
              <w:left w:type="dxa" w:w="90"/>
              <w:bottom w:type="dxa" w:w="60"/>
              <w:right w:type="dxa" w:w="90"/>
            </w:tcMar>
            <w:vAlign w:val="center"/>
          </w:tcPr>
          <w:p>
            <w:pPr>
              <w:spacing w:after="0"/>
              <w:jc w:val="center"/>
            </w:pPr>
            <w:r>
              <w:rPr>
                <w:rFonts w:ascii="Calibri" w:cs="Calibri" w:eastAsia="Calibri" w:hAnsi="Calibri"/>
                <w:b/>
                <w:bCs/>
                <w:color w:val="FFFFFF"/>
                <w:sz w:val="18"/>
                <w:szCs w:val="18"/>
              </w:rPr>
              <w:t xml:space="preserve">Magasin</w:t>
            </w:r>
          </w:p>
        </w:tc>
        <w:tc>
          <w:tcPr>
            <w:tcW w:type="dxa" w:w="1400"/>
            <w:tcBorders>
              <w:top w:val="single" w:color="8EA9C1" w:sz="4"/>
              <w:left w:val="single" w:color="8EA9C1" w:sz="4"/>
              <w:bottom w:val="single" w:color="8EA9C1" w:sz="4"/>
              <w:right w:val="single" w:color="8EA9C1" w:sz="4"/>
            </w:tcBorders>
            <w:shd w:fill="1F4E79" w:color="auto" w:val="clear"/>
            <w:tcMar>
              <w:top w:type="dxa" w:w="60"/>
              <w:left w:type="dxa" w:w="90"/>
              <w:bottom w:type="dxa" w:w="60"/>
              <w:right w:type="dxa" w:w="90"/>
            </w:tcMar>
            <w:vAlign w:val="center"/>
          </w:tcPr>
          <w:p>
            <w:pPr>
              <w:spacing w:after="0"/>
              <w:jc w:val="center"/>
            </w:pPr>
            <w:r>
              <w:rPr>
                <w:rFonts w:ascii="Calibri" w:cs="Calibri" w:eastAsia="Calibri" w:hAnsi="Calibri"/>
                <w:b/>
                <w:bCs/>
                <w:color w:val="FFFFFF"/>
                <w:sz w:val="18"/>
                <w:szCs w:val="18"/>
              </w:rPr>
              <w:t xml:space="preserve">S1 ERP</w:t>
            </w:r>
          </w:p>
        </w:tc>
        <w:tc>
          <w:tcPr>
            <w:tcW w:type="dxa" w:w="1400"/>
            <w:tcBorders>
              <w:top w:val="single" w:color="8EA9C1" w:sz="4"/>
              <w:left w:val="single" w:color="8EA9C1" w:sz="4"/>
              <w:bottom w:val="single" w:color="8EA9C1" w:sz="4"/>
              <w:right w:val="single" w:color="8EA9C1" w:sz="4"/>
            </w:tcBorders>
            <w:shd w:fill="1F4E79" w:color="auto" w:val="clear"/>
            <w:tcMar>
              <w:top w:type="dxa" w:w="60"/>
              <w:left w:type="dxa" w:w="90"/>
              <w:bottom w:type="dxa" w:w="60"/>
              <w:right w:type="dxa" w:w="90"/>
            </w:tcMar>
            <w:vAlign w:val="center"/>
          </w:tcPr>
          <w:p>
            <w:pPr>
              <w:spacing w:after="0"/>
              <w:jc w:val="center"/>
            </w:pPr>
            <w:r>
              <w:rPr>
                <w:rFonts w:ascii="Calibri" w:cs="Calibri" w:eastAsia="Calibri" w:hAnsi="Calibri"/>
                <w:b/>
                <w:bCs/>
                <w:color w:val="FFFFFF"/>
                <w:sz w:val="18"/>
                <w:szCs w:val="18"/>
              </w:rPr>
              <w:t xml:space="preserve">S2 Catalogue</w:t>
            </w:r>
          </w:p>
        </w:tc>
        <w:tc>
          <w:tcPr>
            <w:tcW w:type="dxa" w:w="1400"/>
            <w:tcBorders>
              <w:top w:val="single" w:color="8EA9C1" w:sz="4"/>
              <w:left w:val="single" w:color="8EA9C1" w:sz="4"/>
              <w:bottom w:val="single" w:color="8EA9C1" w:sz="4"/>
              <w:right w:val="single" w:color="8EA9C1" w:sz="4"/>
            </w:tcBorders>
            <w:shd w:fill="1F4E79" w:color="auto" w:val="clear"/>
            <w:tcMar>
              <w:top w:type="dxa" w:w="60"/>
              <w:left w:type="dxa" w:w="90"/>
              <w:bottom w:type="dxa" w:w="60"/>
              <w:right w:type="dxa" w:w="90"/>
            </w:tcMar>
            <w:vAlign w:val="center"/>
          </w:tcPr>
          <w:p>
            <w:pPr>
              <w:spacing w:after="0"/>
              <w:jc w:val="center"/>
            </w:pPr>
            <w:r>
              <w:rPr>
                <w:rFonts w:ascii="Calibri" w:cs="Calibri" w:eastAsia="Calibri" w:hAnsi="Calibri"/>
                <w:b/>
                <w:bCs/>
                <w:color w:val="FFFFFF"/>
                <w:sz w:val="18"/>
                <w:szCs w:val="18"/>
              </w:rPr>
              <w:t xml:space="preserve">S3 Portail RH</w:t>
            </w:r>
          </w:p>
        </w:tc>
        <w:tc>
          <w:tcPr>
            <w:tcW w:type="dxa" w:w="1400"/>
            <w:tcBorders>
              <w:top w:val="single" w:color="8EA9C1" w:sz="4"/>
              <w:left w:val="single" w:color="8EA9C1" w:sz="4"/>
              <w:bottom w:val="single" w:color="8EA9C1" w:sz="4"/>
              <w:right w:val="single" w:color="8EA9C1" w:sz="4"/>
            </w:tcBorders>
            <w:shd w:fill="1F4E79" w:color="auto" w:val="clear"/>
            <w:tcMar>
              <w:top w:type="dxa" w:w="60"/>
              <w:left w:type="dxa" w:w="90"/>
              <w:bottom w:type="dxa" w:w="60"/>
              <w:right w:type="dxa" w:w="90"/>
            </w:tcMar>
            <w:vAlign w:val="center"/>
          </w:tcPr>
          <w:p>
            <w:pPr>
              <w:spacing w:after="0"/>
              <w:jc w:val="center"/>
            </w:pPr>
            <w:r>
              <w:rPr>
                <w:rFonts w:ascii="Calibri" w:cs="Calibri" w:eastAsia="Calibri" w:hAnsi="Calibri"/>
                <w:b/>
                <w:bCs/>
                <w:color w:val="FFFFFF"/>
                <w:sz w:val="18"/>
                <w:szCs w:val="18"/>
              </w:rPr>
              <w:t xml:space="preserve">S4 Excel RH DE</w:t>
            </w:r>
          </w:p>
        </w:tc>
        <w:tc>
          <w:tcPr>
            <w:tcW w:type="dxa" w:w="1400"/>
            <w:tcBorders>
              <w:top w:val="single" w:color="8EA9C1" w:sz="4"/>
              <w:left w:val="single" w:color="8EA9C1" w:sz="4"/>
              <w:bottom w:val="single" w:color="8EA9C1" w:sz="4"/>
              <w:right w:val="single" w:color="8EA9C1" w:sz="4"/>
            </w:tcBorders>
            <w:shd w:fill="1F4E79" w:color="auto" w:val="clear"/>
            <w:tcMar>
              <w:top w:type="dxa" w:w="60"/>
              <w:left w:type="dxa" w:w="90"/>
              <w:bottom w:type="dxa" w:w="60"/>
              <w:right w:type="dxa" w:w="90"/>
            </w:tcMar>
            <w:vAlign w:val="center"/>
          </w:tcPr>
          <w:p>
            <w:pPr>
              <w:spacing w:after="0"/>
              <w:jc w:val="center"/>
            </w:pPr>
            <w:r>
              <w:rPr>
                <w:rFonts w:ascii="Calibri" w:cs="Calibri" w:eastAsia="Calibri" w:hAnsi="Calibri"/>
                <w:b/>
                <w:bCs/>
                <w:color w:val="FFFFFF"/>
                <w:sz w:val="18"/>
                <w:szCs w:val="18"/>
              </w:rPr>
              <w:t xml:space="preserve">S5 Référentiels</w:t>
            </w:r>
          </w:p>
        </w:tc>
        <w:tc>
          <w:tcPr>
            <w:tcW w:type="dxa" w:w="1400"/>
            <w:tcBorders>
              <w:top w:val="single" w:color="8EA9C1" w:sz="4"/>
              <w:left w:val="single" w:color="8EA9C1" w:sz="4"/>
              <w:bottom w:val="single" w:color="8EA9C1" w:sz="4"/>
              <w:right w:val="single" w:color="8EA9C1" w:sz="4"/>
            </w:tcBorders>
            <w:shd w:fill="1F4E79" w:color="auto" w:val="clear"/>
            <w:tcMar>
              <w:top w:type="dxa" w:w="60"/>
              <w:left w:type="dxa" w:w="90"/>
              <w:bottom w:type="dxa" w:w="60"/>
              <w:right w:type="dxa" w:w="90"/>
            </w:tcMar>
            <w:vAlign w:val="center"/>
          </w:tcPr>
          <w:p>
            <w:pPr>
              <w:spacing w:after="0"/>
              <w:jc w:val="center"/>
            </w:pPr>
            <w:r>
              <w:rPr>
                <w:rFonts w:ascii="Calibri" w:cs="Calibri" w:eastAsia="Calibri" w:hAnsi="Calibri"/>
                <w:b/>
                <w:bCs/>
                <w:color w:val="FFFFFF"/>
                <w:sz w:val="18"/>
                <w:szCs w:val="18"/>
              </w:rPr>
              <w:t xml:space="preserve">S6 ED V1</w:t>
            </w:r>
          </w:p>
        </w:tc>
        <w:tc>
          <w:tcPr>
            <w:tcW w:type="dxa" w:w="1400"/>
            <w:tcBorders>
              <w:top w:val="single" w:color="8EA9C1" w:sz="4"/>
              <w:left w:val="single" w:color="8EA9C1" w:sz="4"/>
              <w:bottom w:val="single" w:color="8EA9C1" w:sz="4"/>
              <w:right w:val="single" w:color="8EA9C1" w:sz="4"/>
            </w:tcBorders>
            <w:shd w:fill="1F4E79" w:color="auto" w:val="clear"/>
            <w:tcMar>
              <w:top w:type="dxa" w:w="60"/>
              <w:left w:type="dxa" w:w="90"/>
              <w:bottom w:type="dxa" w:w="60"/>
              <w:right w:type="dxa" w:w="90"/>
            </w:tcMar>
            <w:vAlign w:val="center"/>
          </w:tcPr>
          <w:p>
            <w:pPr>
              <w:spacing w:after="0"/>
              <w:jc w:val="center"/>
            </w:pPr>
            <w:r>
              <w:rPr>
                <w:rFonts w:ascii="Calibri" w:cs="Calibri" w:eastAsia="Calibri" w:hAnsi="Calibri"/>
                <w:b/>
                <w:bCs/>
                <w:color w:val="FFFFFF"/>
                <w:sz w:val="18"/>
                <w:szCs w:val="18"/>
              </w:rPr>
              <w:t xml:space="preserve">S7 Alltricks</w:t>
            </w:r>
          </w:p>
        </w:tc>
      </w:tr>
      <w:tr>
        <w:trPr>
          <w:cantSplit/>
        </w:trPr>
        <w:tc>
          <w:tcPr>
            <w:tcW w:type="dxa" w:w="2600"/>
            <w:tcBorders>
              <w:top w:val="single" w:color="8EA9C1" w:sz="4"/>
              <w:left w:val="single" w:color="8EA9C1" w:sz="4"/>
              <w:bottom w:val="single" w:color="8EA9C1" w:sz="4"/>
              <w:right w:val="single" w:color="8EA9C1" w:sz="4"/>
            </w:tcBorders>
            <w:shd w:fill="DCE6F1" w:color="auto" w:val="clear"/>
            <w:tcMar>
              <w:top w:type="dxa" w:w="60"/>
              <w:left w:type="dxa" w:w="90"/>
              <w:bottom w:type="dxa" w:w="60"/>
              <w:right w:type="dxa" w:w="90"/>
            </w:tcMar>
            <w:vAlign w:val="center"/>
          </w:tcPr>
          <w:p>
            <w:pPr>
              <w:spacing w:after="0"/>
            </w:pPr>
            <w:r>
              <w:rPr>
                <w:rFonts w:ascii="Calibri" w:cs="Calibri" w:eastAsia="Calibri" w:hAnsi="Calibri"/>
                <w:b/>
                <w:bCs/>
                <w:sz w:val="18"/>
                <w:szCs w:val="18"/>
              </w:rPr>
              <w:t xml:space="preserve">MD1 Locations</w:t>
            </w:r>
          </w:p>
        </w:tc>
        <w:tc>
          <w:tcPr>
            <w:tcW w:type="dxa" w:w="14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jc w:val="center"/>
            </w:pPr>
            <w:r>
              <w:rPr>
                <w:rFonts w:ascii="Calibri" w:cs="Calibri" w:eastAsia="Calibri" w:hAnsi="Calibri"/>
                <w:b/>
                <w:bCs/>
                <w:color w:val="1F4E79"/>
                <w:sz w:val="18"/>
                <w:szCs w:val="18"/>
              </w:rPr>
              <w:t xml:space="preserve">X</w:t>
            </w:r>
          </w:p>
        </w:tc>
        <w:tc>
          <w:tcPr>
            <w:tcW w:type="dxa" w:w="14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jc w:val="center"/>
            </w:pPr>
            <w:r>
              <w:rPr>
                <w:rFonts w:ascii="Calibri" w:cs="Calibri" w:eastAsia="Calibri" w:hAnsi="Calibri"/>
                <w:b/>
                <w:bCs/>
                <w:color w:val="1F4E79"/>
                <w:sz w:val="18"/>
                <w:szCs w:val="18"/>
              </w:rPr>
              <w:t xml:space="preserve">X</w:t>
            </w:r>
          </w:p>
        </w:tc>
        <w:tc>
          <w:tcPr>
            <w:tcW w:type="dxa" w:w="14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jc w:val="center"/>
            </w:pPr>
            <w:r>
              <w:rPr>
                <w:rFonts w:ascii="Calibri" w:cs="Calibri" w:eastAsia="Calibri" w:hAnsi="Calibri"/>
                <w:b w:val="false"/>
                <w:bCs w:val="false"/>
                <w:color w:val="808080"/>
                <w:sz w:val="18"/>
                <w:szCs w:val="18"/>
              </w:rPr>
              <w:t xml:space="preserve"/>
            </w:r>
          </w:p>
        </w:tc>
        <w:tc>
          <w:tcPr>
            <w:tcW w:type="dxa" w:w="14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jc w:val="center"/>
            </w:pPr>
            <w:r>
              <w:rPr>
                <w:rFonts w:ascii="Calibri" w:cs="Calibri" w:eastAsia="Calibri" w:hAnsi="Calibri"/>
                <w:b/>
                <w:bCs/>
                <w:color w:val="1F4E79"/>
                <w:sz w:val="18"/>
                <w:szCs w:val="18"/>
              </w:rPr>
              <w:t xml:space="preserve">X</w:t>
            </w:r>
          </w:p>
        </w:tc>
        <w:tc>
          <w:tcPr>
            <w:tcW w:type="dxa" w:w="14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jc w:val="center"/>
            </w:pPr>
            <w:r>
              <w:rPr>
                <w:rFonts w:ascii="Calibri" w:cs="Calibri" w:eastAsia="Calibri" w:hAnsi="Calibri"/>
                <w:b w:val="false"/>
                <w:bCs w:val="false"/>
                <w:color w:val="808080"/>
                <w:sz w:val="18"/>
                <w:szCs w:val="18"/>
              </w:rPr>
              <w:t xml:space="preserve">X (géo DE)</w:t>
            </w:r>
          </w:p>
        </w:tc>
        <w:tc>
          <w:tcPr>
            <w:tcW w:type="dxa" w:w="14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jc w:val="center"/>
            </w:pPr>
            <w:r>
              <w:rPr>
                <w:rFonts w:ascii="Calibri" w:cs="Calibri" w:eastAsia="Calibri" w:hAnsi="Calibri"/>
                <w:b/>
                <w:bCs/>
                <w:color w:val="1F4E79"/>
                <w:sz w:val="18"/>
                <w:szCs w:val="18"/>
              </w:rPr>
              <w:t xml:space="preserve">X</w:t>
            </w:r>
          </w:p>
        </w:tc>
        <w:tc>
          <w:tcPr>
            <w:tcW w:type="dxa" w:w="14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jc w:val="center"/>
            </w:pPr>
            <w:r>
              <w:rPr>
                <w:rFonts w:ascii="Calibri" w:cs="Calibri" w:eastAsia="Calibri" w:hAnsi="Calibri"/>
                <w:b w:val="false"/>
                <w:bCs w:val="false"/>
                <w:color w:val="808080"/>
                <w:sz w:val="18"/>
                <w:szCs w:val="18"/>
              </w:rPr>
              <w:t xml:space="preserve"/>
            </w:r>
          </w:p>
        </w:tc>
      </w:tr>
      <w:tr>
        <w:trPr>
          <w:cantSplit/>
        </w:trPr>
        <w:tc>
          <w:tcPr>
            <w:tcW w:type="dxa" w:w="2600"/>
            <w:tcBorders>
              <w:top w:val="single" w:color="8EA9C1" w:sz="4"/>
              <w:left w:val="single" w:color="8EA9C1" w:sz="4"/>
              <w:bottom w:val="single" w:color="8EA9C1" w:sz="4"/>
              <w:right w:val="single" w:color="8EA9C1" w:sz="4"/>
            </w:tcBorders>
            <w:shd w:fill="DCE6F1" w:color="auto" w:val="clear"/>
            <w:tcMar>
              <w:top w:type="dxa" w:w="60"/>
              <w:left w:type="dxa" w:w="90"/>
              <w:bottom w:type="dxa" w:w="60"/>
              <w:right w:type="dxa" w:w="90"/>
            </w:tcMar>
            <w:vAlign w:val="center"/>
          </w:tcPr>
          <w:p>
            <w:pPr>
              <w:spacing w:after="0"/>
            </w:pPr>
            <w:r>
              <w:rPr>
                <w:rFonts w:ascii="Calibri" w:cs="Calibri" w:eastAsia="Calibri" w:hAnsi="Calibri"/>
                <w:b/>
                <w:bCs/>
                <w:sz w:val="18"/>
                <w:szCs w:val="18"/>
              </w:rPr>
              <w:t xml:space="preserve">MD2 Ventes</w:t>
            </w:r>
          </w:p>
        </w:tc>
        <w:tc>
          <w:tcPr>
            <w:tcW w:type="dxa" w:w="14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jc w:val="center"/>
            </w:pPr>
            <w:r>
              <w:rPr>
                <w:rFonts w:ascii="Calibri" w:cs="Calibri" w:eastAsia="Calibri" w:hAnsi="Calibri"/>
                <w:b/>
                <w:bCs/>
                <w:color w:val="1F4E79"/>
                <w:sz w:val="18"/>
                <w:szCs w:val="18"/>
              </w:rPr>
              <w:t xml:space="preserve">X</w:t>
            </w:r>
          </w:p>
        </w:tc>
        <w:tc>
          <w:tcPr>
            <w:tcW w:type="dxa" w:w="14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jc w:val="center"/>
            </w:pPr>
            <w:r>
              <w:rPr>
                <w:rFonts w:ascii="Calibri" w:cs="Calibri" w:eastAsia="Calibri" w:hAnsi="Calibri"/>
                <w:b/>
                <w:bCs/>
                <w:color w:val="1F4E79"/>
                <w:sz w:val="18"/>
                <w:szCs w:val="18"/>
              </w:rPr>
              <w:t xml:space="preserve">X</w:t>
            </w:r>
          </w:p>
        </w:tc>
        <w:tc>
          <w:tcPr>
            <w:tcW w:type="dxa" w:w="14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jc w:val="center"/>
            </w:pPr>
            <w:r>
              <w:rPr>
                <w:rFonts w:ascii="Calibri" w:cs="Calibri" w:eastAsia="Calibri" w:hAnsi="Calibri"/>
                <w:b/>
                <w:bCs/>
                <w:color w:val="1F4E79"/>
                <w:sz w:val="18"/>
                <w:szCs w:val="18"/>
              </w:rPr>
              <w:t xml:space="preserve">X</w:t>
            </w:r>
          </w:p>
        </w:tc>
        <w:tc>
          <w:tcPr>
            <w:tcW w:type="dxa" w:w="14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jc w:val="center"/>
            </w:pPr>
            <w:r>
              <w:rPr>
                <w:rFonts w:ascii="Calibri" w:cs="Calibri" w:eastAsia="Calibri" w:hAnsi="Calibri"/>
                <w:b/>
                <w:bCs/>
                <w:color w:val="1F4E79"/>
                <w:sz w:val="18"/>
                <w:szCs w:val="18"/>
              </w:rPr>
              <w:t xml:space="preserve">X</w:t>
            </w:r>
          </w:p>
        </w:tc>
        <w:tc>
          <w:tcPr>
            <w:tcW w:type="dxa" w:w="14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jc w:val="center"/>
            </w:pPr>
            <w:r>
              <w:rPr>
                <w:rFonts w:ascii="Calibri" w:cs="Calibri" w:eastAsia="Calibri" w:hAnsi="Calibri"/>
                <w:b/>
                <w:bCs/>
                <w:color w:val="1F4E79"/>
                <w:sz w:val="18"/>
                <w:szCs w:val="18"/>
              </w:rPr>
              <w:t xml:space="preserve">X</w:t>
            </w:r>
          </w:p>
        </w:tc>
        <w:tc>
          <w:tcPr>
            <w:tcW w:type="dxa" w:w="14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jc w:val="center"/>
            </w:pPr>
            <w:r>
              <w:rPr>
                <w:rFonts w:ascii="Calibri" w:cs="Calibri" w:eastAsia="Calibri" w:hAnsi="Calibri"/>
                <w:b/>
                <w:bCs/>
                <w:color w:val="1F4E79"/>
                <w:sz w:val="18"/>
                <w:szCs w:val="18"/>
              </w:rPr>
              <w:t xml:space="preserve">X</w:t>
            </w:r>
          </w:p>
        </w:tc>
        <w:tc>
          <w:tcPr>
            <w:tcW w:type="dxa" w:w="14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jc w:val="center"/>
            </w:pPr>
            <w:r>
              <w:rPr>
                <w:rFonts w:ascii="Calibri" w:cs="Calibri" w:eastAsia="Calibri" w:hAnsi="Calibri"/>
                <w:b/>
                <w:bCs/>
                <w:color w:val="1F4E79"/>
                <w:sz w:val="18"/>
                <w:szCs w:val="18"/>
              </w:rPr>
              <w:t xml:space="preserve">X</w:t>
            </w:r>
          </w:p>
        </w:tc>
      </w:tr>
      <w:tr>
        <w:trPr>
          <w:cantSplit/>
        </w:trPr>
        <w:tc>
          <w:tcPr>
            <w:tcW w:type="dxa" w:w="2600"/>
            <w:tcBorders>
              <w:top w:val="single" w:color="8EA9C1" w:sz="4"/>
              <w:left w:val="single" w:color="8EA9C1" w:sz="4"/>
              <w:bottom w:val="single" w:color="8EA9C1" w:sz="4"/>
              <w:right w:val="single" w:color="8EA9C1" w:sz="4"/>
            </w:tcBorders>
            <w:shd w:fill="DCE6F1" w:color="auto" w:val="clear"/>
            <w:tcMar>
              <w:top w:type="dxa" w:w="60"/>
              <w:left w:type="dxa" w:w="90"/>
              <w:bottom w:type="dxa" w:w="60"/>
              <w:right w:type="dxa" w:w="90"/>
            </w:tcMar>
            <w:vAlign w:val="center"/>
          </w:tcPr>
          <w:p>
            <w:pPr>
              <w:spacing w:after="0"/>
            </w:pPr>
            <w:r>
              <w:rPr>
                <w:rFonts w:ascii="Calibri" w:cs="Calibri" w:eastAsia="Calibri" w:hAnsi="Calibri"/>
                <w:b/>
                <w:bCs/>
                <w:sz w:val="18"/>
                <w:szCs w:val="18"/>
              </w:rPr>
              <w:t xml:space="preserve">Nombre de MD</w:t>
            </w:r>
          </w:p>
        </w:tc>
        <w:tc>
          <w:tcPr>
            <w:tcW w:type="dxa" w:w="14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jc w:val="center"/>
            </w:pPr>
            <w:r>
              <w:rPr>
                <w:rFonts w:ascii="Calibri" w:cs="Calibri" w:eastAsia="Calibri" w:hAnsi="Calibri"/>
                <w:b w:val="false"/>
                <w:bCs w:val="false"/>
                <w:color w:val="808080"/>
                <w:sz w:val="18"/>
                <w:szCs w:val="18"/>
              </w:rPr>
              <w:t xml:space="preserve">2</w:t>
            </w:r>
          </w:p>
        </w:tc>
        <w:tc>
          <w:tcPr>
            <w:tcW w:type="dxa" w:w="14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jc w:val="center"/>
            </w:pPr>
            <w:r>
              <w:rPr>
                <w:rFonts w:ascii="Calibri" w:cs="Calibri" w:eastAsia="Calibri" w:hAnsi="Calibri"/>
                <w:b w:val="false"/>
                <w:bCs w:val="false"/>
                <w:color w:val="808080"/>
                <w:sz w:val="18"/>
                <w:szCs w:val="18"/>
              </w:rPr>
              <w:t xml:space="preserve">2</w:t>
            </w:r>
          </w:p>
        </w:tc>
        <w:tc>
          <w:tcPr>
            <w:tcW w:type="dxa" w:w="14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jc w:val="center"/>
            </w:pPr>
            <w:r>
              <w:rPr>
                <w:rFonts w:ascii="Calibri" w:cs="Calibri" w:eastAsia="Calibri" w:hAnsi="Calibri"/>
                <w:b w:val="false"/>
                <w:bCs w:val="false"/>
                <w:color w:val="808080"/>
                <w:sz w:val="18"/>
                <w:szCs w:val="18"/>
              </w:rPr>
              <w:t xml:space="preserve">1</w:t>
            </w:r>
          </w:p>
        </w:tc>
        <w:tc>
          <w:tcPr>
            <w:tcW w:type="dxa" w:w="14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jc w:val="center"/>
            </w:pPr>
            <w:r>
              <w:rPr>
                <w:rFonts w:ascii="Calibri" w:cs="Calibri" w:eastAsia="Calibri" w:hAnsi="Calibri"/>
                <w:b w:val="false"/>
                <w:bCs w:val="false"/>
                <w:color w:val="808080"/>
                <w:sz w:val="18"/>
                <w:szCs w:val="18"/>
              </w:rPr>
              <w:t xml:space="preserve">2</w:t>
            </w:r>
          </w:p>
        </w:tc>
        <w:tc>
          <w:tcPr>
            <w:tcW w:type="dxa" w:w="14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jc w:val="center"/>
            </w:pPr>
            <w:r>
              <w:rPr>
                <w:rFonts w:ascii="Calibri" w:cs="Calibri" w:eastAsia="Calibri" w:hAnsi="Calibri"/>
                <w:b w:val="false"/>
                <w:bCs w:val="false"/>
                <w:color w:val="808080"/>
                <w:sz w:val="18"/>
                <w:szCs w:val="18"/>
              </w:rPr>
              <w:t xml:space="preserve">2</w:t>
            </w:r>
          </w:p>
        </w:tc>
        <w:tc>
          <w:tcPr>
            <w:tcW w:type="dxa" w:w="14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jc w:val="center"/>
            </w:pPr>
            <w:r>
              <w:rPr>
                <w:rFonts w:ascii="Calibri" w:cs="Calibri" w:eastAsia="Calibri" w:hAnsi="Calibri"/>
                <w:b w:val="false"/>
                <w:bCs w:val="false"/>
                <w:color w:val="808080"/>
                <w:sz w:val="18"/>
                <w:szCs w:val="18"/>
              </w:rPr>
              <w:t xml:space="preserve">2</w:t>
            </w:r>
          </w:p>
        </w:tc>
        <w:tc>
          <w:tcPr>
            <w:tcW w:type="dxa" w:w="14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jc w:val="center"/>
            </w:pPr>
            <w:r>
              <w:rPr>
                <w:rFonts w:ascii="Calibri" w:cs="Calibri" w:eastAsia="Calibri" w:hAnsi="Calibri"/>
                <w:b w:val="false"/>
                <w:bCs w:val="false"/>
                <w:color w:val="808080"/>
                <w:sz w:val="18"/>
                <w:szCs w:val="18"/>
              </w:rPr>
              <w:t xml:space="preserve">1</w:t>
            </w:r>
          </w:p>
        </w:tc>
      </w:tr>
    </w:tbl>
    <w:p>
      <w:pPr>
        <w:spacing w:after="60"/>
      </w:pPr>
      <w:r>
        <w:rPr>
          <w:rFonts w:ascii="Calibri" w:cs="Calibri" w:eastAsia="Calibri" w:hAnsi="Calibri"/>
          <w:sz w:val="21"/>
          <w:szCs w:val="21"/>
        </w:rPr>
        <w:t xml:space="preserve"/>
      </w:r>
    </w:p>
    <w:p>
      <w:pPr>
        <w:spacing w:after="80"/>
      </w:pPr>
      <w:r>
        <w:rPr>
          <w:rFonts w:ascii="Calibri" w:cs="Calibri" w:eastAsia="Calibri" w:hAnsi="Calibri"/>
          <w:b/>
          <w:bCs/>
          <w:color w:val="1F4E79"/>
          <w:sz w:val="21"/>
          <w:szCs w:val="21"/>
        </w:rPr>
        <w:t xml:space="preserve">Détail des données nécessaires par magasin</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800"/>
        <w:gridCol w:w="5200"/>
        <w:gridCol w:w="7400"/>
      </w:tblGrid>
      <w:tr>
        <w:trPr>
          <w:tblHeader/>
        </w:trPr>
        <w:tc>
          <w:tcPr>
            <w:tcW w:type="dxa" w:w="1800"/>
            <w:tcBorders>
              <w:top w:val="single" w:color="8EA9C1" w:sz="4"/>
              <w:left w:val="single" w:color="8EA9C1" w:sz="4"/>
              <w:bottom w:val="single" w:color="8EA9C1" w:sz="4"/>
              <w:right w:val="single" w:color="8EA9C1" w:sz="4"/>
            </w:tcBorders>
            <w:shd w:fill="1F4E79" w:color="auto" w:val="clear"/>
            <w:tcMar>
              <w:top w:type="dxa" w:w="60"/>
              <w:left w:type="dxa" w:w="90"/>
              <w:bottom w:type="dxa" w:w="60"/>
              <w:right w:type="dxa" w:w="90"/>
            </w:tcMar>
            <w:vAlign w:val="center"/>
          </w:tcPr>
          <w:p>
            <w:pPr>
              <w:spacing w:after="0"/>
              <w:jc w:val="center"/>
            </w:pPr>
            <w:r>
              <w:rPr>
                <w:rFonts w:ascii="Calibri" w:cs="Calibri" w:eastAsia="Calibri" w:hAnsi="Calibri"/>
                <w:b/>
                <w:bCs/>
                <w:color w:val="FFFFFF"/>
                <w:sz w:val="18"/>
                <w:szCs w:val="18"/>
              </w:rPr>
              <w:t xml:space="preserve">Magasin</w:t>
            </w:r>
          </w:p>
        </w:tc>
        <w:tc>
          <w:tcPr>
            <w:tcW w:type="dxa" w:w="5200"/>
            <w:tcBorders>
              <w:top w:val="single" w:color="8EA9C1" w:sz="4"/>
              <w:left w:val="single" w:color="8EA9C1" w:sz="4"/>
              <w:bottom w:val="single" w:color="8EA9C1" w:sz="4"/>
              <w:right w:val="single" w:color="8EA9C1" w:sz="4"/>
            </w:tcBorders>
            <w:shd w:fill="1F4E79" w:color="auto" w:val="clear"/>
            <w:tcMar>
              <w:top w:type="dxa" w:w="60"/>
              <w:left w:type="dxa" w:w="90"/>
              <w:bottom w:type="dxa" w:w="60"/>
              <w:right w:type="dxa" w:w="90"/>
            </w:tcMar>
            <w:vAlign w:val="center"/>
          </w:tcPr>
          <w:p>
            <w:pPr>
              <w:spacing w:after="0"/>
              <w:jc w:val="center"/>
            </w:pPr>
            <w:r>
              <w:rPr>
                <w:rFonts w:ascii="Calibri" w:cs="Calibri" w:eastAsia="Calibri" w:hAnsi="Calibri"/>
                <w:b/>
                <w:bCs/>
                <w:color w:val="FFFFFF"/>
                <w:sz w:val="18"/>
                <w:szCs w:val="18"/>
              </w:rPr>
              <w:t xml:space="preserve">Données nécessaires</w:t>
            </w:r>
          </w:p>
        </w:tc>
        <w:tc>
          <w:tcPr>
            <w:tcW w:type="dxa" w:w="7400"/>
            <w:tcBorders>
              <w:top w:val="single" w:color="8EA9C1" w:sz="4"/>
              <w:left w:val="single" w:color="8EA9C1" w:sz="4"/>
              <w:bottom w:val="single" w:color="8EA9C1" w:sz="4"/>
              <w:right w:val="single" w:color="8EA9C1" w:sz="4"/>
            </w:tcBorders>
            <w:shd w:fill="1F4E79" w:color="auto" w:val="clear"/>
            <w:tcMar>
              <w:top w:type="dxa" w:w="60"/>
              <w:left w:type="dxa" w:w="90"/>
              <w:bottom w:type="dxa" w:w="60"/>
              <w:right w:type="dxa" w:w="90"/>
            </w:tcMar>
            <w:vAlign w:val="center"/>
          </w:tcPr>
          <w:p>
            <w:pPr>
              <w:spacing w:after="0"/>
              <w:jc w:val="center"/>
            </w:pPr>
            <w:r>
              <w:rPr>
                <w:rFonts w:ascii="Calibri" w:cs="Calibri" w:eastAsia="Calibri" w:hAnsi="Calibri"/>
                <w:b/>
                <w:bCs/>
                <w:color w:val="FFFFFF"/>
                <w:sz w:val="18"/>
                <w:szCs w:val="18"/>
              </w:rPr>
              <w:t xml:space="preserve">Sources</w:t>
            </w:r>
          </w:p>
        </w:tc>
      </w:tr>
      <w:tr>
        <w:trPr>
          <w:cantSplit/>
        </w:trPr>
        <w:tc>
          <w:tcPr>
            <w:tcW w:type="dxa" w:w="1800"/>
            <w:tcBorders>
              <w:top w:val="single" w:color="8EA9C1" w:sz="4"/>
              <w:left w:val="single" w:color="8EA9C1" w:sz="4"/>
              <w:bottom w:val="single" w:color="8EA9C1" w:sz="4"/>
              <w:right w:val="single" w:color="8EA9C1" w:sz="4"/>
            </w:tcBorders>
            <w:shd w:fill="DCE6F1" w:color="auto" w:val="clear"/>
            <w:tcMar>
              <w:top w:type="dxa" w:w="60"/>
              <w:left w:type="dxa" w:w="90"/>
              <w:bottom w:type="dxa" w:w="60"/>
              <w:right w:type="dxa" w:w="90"/>
            </w:tcMar>
            <w:vAlign w:val="center"/>
          </w:tcPr>
          <w:p>
            <w:pPr>
              <w:spacing w:after="0"/>
              <w:jc w:val="center"/>
            </w:pPr>
            <w:r>
              <w:rPr>
                <w:rFonts w:ascii="Calibri" w:cs="Calibri" w:eastAsia="Calibri" w:hAnsi="Calibri"/>
                <w:b/>
                <w:bCs/>
                <w:sz w:val="18"/>
                <w:szCs w:val="18"/>
              </w:rPr>
              <w:t xml:space="preserve">MD1</w:t>
            </w:r>
          </w:p>
        </w:tc>
        <w:tc>
          <w:tcPr>
            <w:tcW w:type="dxa" w:w="52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Locations : date de début, durée, exemplaire, employé</w:t>
            </w:r>
          </w:p>
        </w:tc>
        <w:tc>
          <w:tcPr>
            <w:tcW w:type="dxa" w:w="74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S1 (nouvelles locations), S6 (historique)</w:t>
            </w:r>
          </w:p>
        </w:tc>
      </w:tr>
      <w:tr>
        <w:trPr>
          <w:cantSplit/>
        </w:trPr>
        <w:tc>
          <w:tcPr>
            <w:tcW w:type="dxa" w:w="1800"/>
            <w:tcBorders>
              <w:top w:val="single" w:color="8EA9C1" w:sz="4"/>
              <w:left w:val="single" w:color="8EA9C1" w:sz="4"/>
              <w:bottom w:val="single" w:color="8EA9C1" w:sz="4"/>
              <w:right w:val="single" w:color="8EA9C1" w:sz="4"/>
            </w:tcBorders>
            <w:shd w:fill="DCE6F1" w:color="auto" w:val="clear"/>
            <w:tcMar>
              <w:top w:type="dxa" w:w="60"/>
              <w:left w:type="dxa" w:w="90"/>
              <w:bottom w:type="dxa" w:w="60"/>
              <w:right w:type="dxa" w:w="90"/>
            </w:tcMar>
            <w:vAlign w:val="center"/>
          </w:tcPr>
          <w:p>
            <w:pPr>
              <w:spacing w:after="0"/>
              <w:jc w:val="center"/>
            </w:pPr>
            <w:r>
              <w:rPr>
                <w:rFonts w:ascii="Calibri" w:cs="Calibri" w:eastAsia="Calibri" w:hAnsi="Calibri"/>
                <w:b/>
                <w:bCs/>
                <w:sz w:val="18"/>
                <w:szCs w:val="18"/>
              </w:rPr>
              <w:t xml:space="preserve">MD1</w:t>
            </w:r>
          </w:p>
        </w:tc>
        <w:tc>
          <w:tcPr>
            <w:tcW w:type="dxa" w:w="52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Montant au prix public et montant payé</w:t>
            </w:r>
          </w:p>
        </w:tc>
        <w:tc>
          <w:tcPr>
            <w:tcW w:type="dxa" w:w="74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S2.Tarif (prix valable à la date et dans le pays), S6.REDUCTION (% de réduction par gamme, profil et année)</w:t>
            </w:r>
          </w:p>
        </w:tc>
      </w:tr>
      <w:tr>
        <w:trPr>
          <w:cantSplit/>
        </w:trPr>
        <w:tc>
          <w:tcPr>
            <w:tcW w:type="dxa" w:w="1800"/>
            <w:tcBorders>
              <w:top w:val="single" w:color="8EA9C1" w:sz="4"/>
              <w:left w:val="single" w:color="8EA9C1" w:sz="4"/>
              <w:bottom w:val="single" w:color="8EA9C1" w:sz="4"/>
              <w:right w:val="single" w:color="8EA9C1" w:sz="4"/>
            </w:tcBorders>
            <w:shd w:fill="DCE6F1" w:color="auto" w:val="clear"/>
            <w:tcMar>
              <w:top w:type="dxa" w:w="60"/>
              <w:left w:type="dxa" w:w="90"/>
              <w:bottom w:type="dxa" w:w="60"/>
              <w:right w:type="dxa" w:w="90"/>
            </w:tcMar>
            <w:vAlign w:val="center"/>
          </w:tcPr>
          <w:p>
            <w:pPr>
              <w:spacing w:after="0"/>
              <w:jc w:val="center"/>
            </w:pPr>
            <w:r>
              <w:rPr>
                <w:rFonts w:ascii="Calibri" w:cs="Calibri" w:eastAsia="Calibri" w:hAnsi="Calibri"/>
                <w:b/>
                <w:bCs/>
                <w:sz w:val="18"/>
                <w:szCs w:val="18"/>
              </w:rPr>
              <w:t xml:space="preserve">MD1</w:t>
            </w:r>
          </w:p>
        </w:tc>
        <w:tc>
          <w:tcPr>
            <w:tcW w:type="dxa" w:w="52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Exemplaire et informations produit : produit, marque, gamme, secteur, génération, fabricant, agence</w:t>
            </w:r>
          </w:p>
        </w:tc>
        <w:tc>
          <w:tcPr>
            <w:tcW w:type="dxa" w:w="74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S2.Exemplaire, S2.Produit, S2.Generation, S2.Fabricant, S2.Agence, S6.GAMME</w:t>
            </w:r>
          </w:p>
        </w:tc>
      </w:tr>
      <w:tr>
        <w:trPr>
          <w:cantSplit/>
        </w:trPr>
        <w:tc>
          <w:tcPr>
            <w:tcW w:type="dxa" w:w="1800"/>
            <w:tcBorders>
              <w:top w:val="single" w:color="8EA9C1" w:sz="4"/>
              <w:left w:val="single" w:color="8EA9C1" w:sz="4"/>
              <w:bottom w:val="single" w:color="8EA9C1" w:sz="4"/>
              <w:right w:val="single" w:color="8EA9C1" w:sz="4"/>
            </w:tcBorders>
            <w:shd w:fill="DCE6F1" w:color="auto" w:val="clear"/>
            <w:tcMar>
              <w:top w:type="dxa" w:w="60"/>
              <w:left w:type="dxa" w:w="90"/>
              <w:bottom w:type="dxa" w:w="60"/>
              <w:right w:type="dxa" w:w="90"/>
            </w:tcMar>
            <w:vAlign w:val="center"/>
          </w:tcPr>
          <w:p>
            <w:pPr>
              <w:spacing w:after="0"/>
              <w:jc w:val="center"/>
            </w:pPr>
            <w:r>
              <w:rPr>
                <w:rFonts w:ascii="Calibri" w:cs="Calibri" w:eastAsia="Calibri" w:hAnsi="Calibri"/>
                <w:b/>
                <w:bCs/>
                <w:sz w:val="18"/>
                <w:szCs w:val="18"/>
              </w:rPr>
              <w:t xml:space="preserve">MD1</w:t>
            </w:r>
          </w:p>
        </w:tc>
        <w:tc>
          <w:tcPr>
            <w:tcW w:type="dxa" w:w="52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Employé : nom, prénom, profil, classe de trajet</w:t>
            </w:r>
          </w:p>
        </w:tc>
        <w:tc>
          <w:tcPr>
            <w:tcW w:type="dxa" w:w="74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S6.EMPLOYE, S6.CATEGORIE (FR), S4 (DE)</w:t>
            </w:r>
          </w:p>
        </w:tc>
      </w:tr>
      <w:tr>
        <w:trPr>
          <w:cantSplit/>
        </w:trPr>
        <w:tc>
          <w:tcPr>
            <w:tcW w:type="dxa" w:w="1800"/>
            <w:tcBorders>
              <w:top w:val="single" w:color="8EA9C1" w:sz="4"/>
              <w:left w:val="single" w:color="8EA9C1" w:sz="4"/>
              <w:bottom w:val="single" w:color="8EA9C1" w:sz="4"/>
              <w:right w:val="single" w:color="8EA9C1" w:sz="4"/>
            </w:tcBorders>
            <w:shd w:fill="DCE6F1" w:color="auto" w:val="clear"/>
            <w:tcMar>
              <w:top w:type="dxa" w:w="60"/>
              <w:left w:type="dxa" w:w="90"/>
              <w:bottom w:type="dxa" w:w="60"/>
              <w:right w:type="dxa" w:w="90"/>
            </w:tcMar>
            <w:vAlign w:val="center"/>
          </w:tcPr>
          <w:p>
            <w:pPr>
              <w:spacing w:after="0"/>
              <w:jc w:val="center"/>
            </w:pPr>
            <w:r>
              <w:rPr>
                <w:rFonts w:ascii="Calibri" w:cs="Calibri" w:eastAsia="Calibri" w:hAnsi="Calibri"/>
                <w:b/>
                <w:bCs/>
                <w:sz w:val="18"/>
                <w:szCs w:val="18"/>
              </w:rPr>
              <w:t xml:space="preserve">MD1 / MD2</w:t>
            </w:r>
          </w:p>
        </w:tc>
        <w:tc>
          <w:tcPr>
            <w:tcW w:type="dxa" w:w="52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Géographie de la société, quel que soit son pays</w:t>
            </w:r>
          </w:p>
        </w:tc>
        <w:tc>
          <w:tcPr>
            <w:tcW w:type="dxa" w:w="74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S6.SOCIETE (ville, département, région FR), S5 (découpage administratif DE)</w:t>
            </w:r>
          </w:p>
        </w:tc>
      </w:tr>
      <w:tr>
        <w:trPr>
          <w:cantSplit/>
        </w:trPr>
        <w:tc>
          <w:tcPr>
            <w:tcW w:type="dxa" w:w="1800"/>
            <w:tcBorders>
              <w:top w:val="single" w:color="8EA9C1" w:sz="4"/>
              <w:left w:val="single" w:color="8EA9C1" w:sz="4"/>
              <w:bottom w:val="single" w:color="8EA9C1" w:sz="4"/>
              <w:right w:val="single" w:color="8EA9C1" w:sz="4"/>
            </w:tcBorders>
            <w:shd w:fill="DCE6F1" w:color="auto" w:val="clear"/>
            <w:tcMar>
              <w:top w:type="dxa" w:w="60"/>
              <w:left w:type="dxa" w:w="90"/>
              <w:bottom w:type="dxa" w:w="60"/>
              <w:right w:type="dxa" w:w="90"/>
            </w:tcMar>
            <w:vAlign w:val="center"/>
          </w:tcPr>
          <w:p>
            <w:pPr>
              <w:spacing w:after="0"/>
              <w:jc w:val="center"/>
            </w:pPr>
            <w:r>
              <w:rPr>
                <w:rFonts w:ascii="Calibri" w:cs="Calibri" w:eastAsia="Calibri" w:hAnsi="Calibri"/>
                <w:b/>
                <w:bCs/>
                <w:sz w:val="18"/>
                <w:szCs w:val="18"/>
              </w:rPr>
              <w:t xml:space="preserve">MD2</w:t>
            </w:r>
          </w:p>
        </w:tc>
        <w:tc>
          <w:tcPr>
            <w:tcW w:type="dxa" w:w="52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Achats : date, quantité, produit, employé</w:t>
            </w:r>
          </w:p>
        </w:tc>
        <w:tc>
          <w:tcPr>
            <w:tcW w:type="dxa" w:w="74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S1 (nouveaux achats), S6.ACHAT (historique)</w:t>
            </w:r>
          </w:p>
        </w:tc>
      </w:tr>
      <w:tr>
        <w:trPr>
          <w:cantSplit/>
        </w:trPr>
        <w:tc>
          <w:tcPr>
            <w:tcW w:type="dxa" w:w="1800"/>
            <w:tcBorders>
              <w:top w:val="single" w:color="8EA9C1" w:sz="4"/>
              <w:left w:val="single" w:color="8EA9C1" w:sz="4"/>
              <w:bottom w:val="single" w:color="8EA9C1" w:sz="4"/>
              <w:right w:val="single" w:color="8EA9C1" w:sz="4"/>
            </w:tcBorders>
            <w:shd w:fill="DCE6F1" w:color="auto" w:val="clear"/>
            <w:tcMar>
              <w:top w:type="dxa" w:w="60"/>
              <w:left w:type="dxa" w:w="90"/>
              <w:bottom w:type="dxa" w:w="60"/>
              <w:right w:type="dxa" w:w="90"/>
            </w:tcMar>
            <w:vAlign w:val="center"/>
          </w:tcPr>
          <w:p>
            <w:pPr>
              <w:spacing w:after="0"/>
              <w:jc w:val="center"/>
            </w:pPr>
            <w:r>
              <w:rPr>
                <w:rFonts w:ascii="Calibri" w:cs="Calibri" w:eastAsia="Calibri" w:hAnsi="Calibri"/>
                <w:b/>
                <w:bCs/>
                <w:sz w:val="18"/>
                <w:szCs w:val="18"/>
              </w:rPr>
              <w:t xml:space="preserve">MD2</w:t>
            </w:r>
          </w:p>
        </w:tc>
        <w:tc>
          <w:tcPr>
            <w:tcW w:type="dxa" w:w="52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Montant payé et bénéfice</w:t>
            </w:r>
          </w:p>
        </w:tc>
        <w:tc>
          <w:tcPr>
            <w:tcW w:type="dxa" w:w="74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S2.Tarif, S6.REDUCTION</w:t>
            </w:r>
          </w:p>
        </w:tc>
      </w:tr>
      <w:tr>
        <w:trPr>
          <w:cantSplit/>
        </w:trPr>
        <w:tc>
          <w:tcPr>
            <w:tcW w:type="dxa" w:w="1800"/>
            <w:tcBorders>
              <w:top w:val="single" w:color="8EA9C1" w:sz="4"/>
              <w:left w:val="single" w:color="8EA9C1" w:sz="4"/>
              <w:bottom w:val="single" w:color="8EA9C1" w:sz="4"/>
              <w:right w:val="single" w:color="8EA9C1" w:sz="4"/>
            </w:tcBorders>
            <w:shd w:fill="DCE6F1" w:color="auto" w:val="clear"/>
            <w:tcMar>
              <w:top w:type="dxa" w:w="60"/>
              <w:left w:type="dxa" w:w="90"/>
              <w:bottom w:type="dxa" w:w="60"/>
              <w:right w:type="dxa" w:w="90"/>
            </w:tcMar>
            <w:vAlign w:val="center"/>
          </w:tcPr>
          <w:p>
            <w:pPr>
              <w:spacing w:after="0"/>
              <w:jc w:val="center"/>
            </w:pPr>
            <w:r>
              <w:rPr>
                <w:rFonts w:ascii="Calibri" w:cs="Calibri" w:eastAsia="Calibri" w:hAnsi="Calibri"/>
                <w:b/>
                <w:bCs/>
                <w:sz w:val="18"/>
                <w:szCs w:val="18"/>
              </w:rPr>
              <w:t xml:space="preserve">MD2</w:t>
            </w:r>
          </w:p>
        </w:tc>
        <w:tc>
          <w:tcPr>
            <w:tcW w:type="dxa" w:w="52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Métier des salariés (ROME, 4 niveaux), historisé</w:t>
            </w:r>
          </w:p>
        </w:tc>
        <w:tc>
          <w:tcPr>
            <w:tcW w:type="dxa" w:w="74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S3 (FR uniquement)</w:t>
            </w:r>
          </w:p>
        </w:tc>
      </w:tr>
      <w:tr>
        <w:trPr>
          <w:cantSplit/>
        </w:trPr>
        <w:tc>
          <w:tcPr>
            <w:tcW w:type="dxa" w:w="1800"/>
            <w:tcBorders>
              <w:top w:val="single" w:color="8EA9C1" w:sz="4"/>
              <w:left w:val="single" w:color="8EA9C1" w:sz="4"/>
              <w:bottom w:val="single" w:color="8EA9C1" w:sz="4"/>
              <w:right w:val="single" w:color="8EA9C1" w:sz="4"/>
            </w:tcBorders>
            <w:shd w:fill="DCE6F1" w:color="auto" w:val="clear"/>
            <w:tcMar>
              <w:top w:type="dxa" w:w="60"/>
              <w:left w:type="dxa" w:w="90"/>
              <w:bottom w:type="dxa" w:w="60"/>
              <w:right w:type="dxa" w:w="90"/>
            </w:tcMar>
            <w:vAlign w:val="center"/>
          </w:tcPr>
          <w:p>
            <w:pPr>
              <w:spacing w:after="0"/>
              <w:jc w:val="center"/>
            </w:pPr>
            <w:r>
              <w:rPr>
                <w:rFonts w:ascii="Calibri" w:cs="Calibri" w:eastAsia="Calibri" w:hAnsi="Calibri"/>
                <w:b/>
                <w:bCs/>
                <w:sz w:val="18"/>
                <w:szCs w:val="18"/>
              </w:rPr>
              <w:t xml:space="preserve">MD2</w:t>
            </w:r>
          </w:p>
        </w:tc>
        <w:tc>
          <w:tcPr>
            <w:tcW w:type="dxa" w:w="52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Société : type, catégorie juridique (3 niveaux, FR et DE), domaine NAF</w:t>
            </w:r>
          </w:p>
        </w:tc>
        <w:tc>
          <w:tcPr>
            <w:tcW w:type="dxa" w:w="74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S5 (INSEE, NAF), S6.SOCIETE</w:t>
            </w:r>
          </w:p>
        </w:tc>
      </w:tr>
      <w:tr>
        <w:trPr>
          <w:cantSplit/>
        </w:trPr>
        <w:tc>
          <w:tcPr>
            <w:tcW w:type="dxa" w:w="1800"/>
            <w:tcBorders>
              <w:top w:val="single" w:color="8EA9C1" w:sz="4"/>
              <w:left w:val="single" w:color="8EA9C1" w:sz="4"/>
              <w:bottom w:val="single" w:color="8EA9C1" w:sz="4"/>
              <w:right w:val="single" w:color="8EA9C1" w:sz="4"/>
            </w:tcBorders>
            <w:shd w:fill="DCE6F1" w:color="auto" w:val="clear"/>
            <w:tcMar>
              <w:top w:type="dxa" w:w="60"/>
              <w:left w:type="dxa" w:w="90"/>
              <w:bottom w:type="dxa" w:w="60"/>
              <w:right w:type="dxa" w:w="90"/>
            </w:tcMar>
            <w:vAlign w:val="center"/>
          </w:tcPr>
          <w:p>
            <w:pPr>
              <w:spacing w:after="0"/>
              <w:jc w:val="center"/>
            </w:pPr>
            <w:r>
              <w:rPr>
                <w:rFonts w:ascii="Calibri" w:cs="Calibri" w:eastAsia="Calibri" w:hAnsi="Calibri"/>
                <w:b/>
                <w:bCs/>
                <w:sz w:val="18"/>
                <w:szCs w:val="18"/>
              </w:rPr>
              <w:t xml:space="preserve">MD2</w:t>
            </w:r>
          </w:p>
        </w:tc>
        <w:tc>
          <w:tcPr>
            <w:tcW w:type="dxa" w:w="52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Achats chez les partenaires : date, montant payé, remise, partenaire, employé</w:t>
            </w:r>
          </w:p>
        </w:tc>
        <w:tc>
          <w:tcPr>
            <w:tcW w:type="dxa" w:w="74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S7 (Alltricks)</w:t>
            </w:r>
          </w:p>
        </w:tc>
      </w:tr>
      <w:tr>
        <w:trPr>
          <w:cantSplit/>
        </w:trPr>
        <w:tc>
          <w:tcPr>
            <w:tcW w:type="dxa" w:w="1800"/>
            <w:tcBorders>
              <w:top w:val="single" w:color="8EA9C1" w:sz="4"/>
              <w:left w:val="single" w:color="8EA9C1" w:sz="4"/>
              <w:bottom w:val="single" w:color="8EA9C1" w:sz="4"/>
              <w:right w:val="single" w:color="8EA9C1" w:sz="4"/>
            </w:tcBorders>
            <w:shd w:fill="DCE6F1" w:color="auto" w:val="clear"/>
            <w:tcMar>
              <w:top w:type="dxa" w:w="60"/>
              <w:left w:type="dxa" w:w="90"/>
              <w:bottom w:type="dxa" w:w="60"/>
              <w:right w:type="dxa" w:w="90"/>
            </w:tcMar>
            <w:vAlign w:val="center"/>
          </w:tcPr>
          <w:p>
            <w:pPr>
              <w:spacing w:after="0"/>
              <w:jc w:val="center"/>
            </w:pPr>
            <w:r>
              <w:rPr>
                <w:rFonts w:ascii="Calibri" w:cs="Calibri" w:eastAsia="Calibri" w:hAnsi="Calibri"/>
                <w:b/>
                <w:bCs/>
                <w:sz w:val="18"/>
                <w:szCs w:val="18"/>
              </w:rPr>
              <w:t xml:space="preserve">MD1 / MD2</w:t>
            </w:r>
          </w:p>
        </w:tc>
        <w:tc>
          <w:tcPr>
            <w:tcW w:type="dxa" w:w="52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Service de l'employé à la date de l'opération</w:t>
            </w:r>
          </w:p>
        </w:tc>
        <w:tc>
          <w:tcPr>
            <w:tcW w:type="dxa" w:w="74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S6.EMPLOYE (service actuel), historique des affectations construit dans l'ED</w:t>
            </w:r>
          </w:p>
        </w:tc>
      </w:tr>
      <w:tr>
        <w:trPr>
          <w:cantSplit/>
        </w:trPr>
        <w:tc>
          <w:tcPr>
            <w:tcW w:type="dxa" w:w="1800"/>
            <w:tcBorders>
              <w:top w:val="single" w:color="8EA9C1" w:sz="4"/>
              <w:left w:val="single" w:color="8EA9C1" w:sz="4"/>
              <w:bottom w:val="single" w:color="8EA9C1" w:sz="4"/>
              <w:right w:val="single" w:color="8EA9C1" w:sz="4"/>
            </w:tcBorders>
            <w:shd w:fill="DCE6F1" w:color="auto" w:val="clear"/>
            <w:tcMar>
              <w:top w:type="dxa" w:w="60"/>
              <w:left w:type="dxa" w:w="90"/>
              <w:bottom w:type="dxa" w:w="60"/>
              <w:right w:type="dxa" w:w="90"/>
            </w:tcMar>
            <w:vAlign w:val="center"/>
          </w:tcPr>
          <w:p>
            <w:pPr>
              <w:spacing w:after="0"/>
              <w:jc w:val="center"/>
            </w:pPr>
            <w:r>
              <w:rPr>
                <w:rFonts w:ascii="Calibri" w:cs="Calibri" w:eastAsia="Calibri" w:hAnsi="Calibri"/>
                <w:b/>
                <w:bCs/>
                <w:sz w:val="18"/>
                <w:szCs w:val="18"/>
              </w:rPr>
              <w:t xml:space="preserve">MD1 / MD2</w:t>
            </w:r>
          </w:p>
        </w:tc>
        <w:tc>
          <w:tcPr>
            <w:tcW w:type="dxa" w:w="52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Taux de TVA par pays, pour restituer le TTC au choix du décideur</w:t>
            </w:r>
          </w:p>
        </w:tc>
        <w:tc>
          <w:tcPr>
            <w:tcW w:type="dxa" w:w="74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sz w:val="18"/>
                <w:szCs w:val="18"/>
              </w:rPr>
              <w:t xml:space="preserve">Référentiel PAYS (constante légale)</w:t>
            </w:r>
          </w:p>
        </w:tc>
      </w:tr>
    </w:tbl>
    <w:p>
      <w:pPr>
        <w:spacing w:after="60"/>
      </w:pPr>
      <w:r>
        <w:rPr>
          <w:rFonts w:ascii="Calibri" w:cs="Calibri" w:eastAsia="Calibri" w:hAnsi="Calibri"/>
          <w:sz w:val="21"/>
          <w:szCs w:val="21"/>
        </w:rPr>
        <w:t xml:space="preserve"/>
      </w:r>
    </w:p>
    <w:p>
      <w:pPr>
        <w:spacing w:after="80"/>
      </w:pPr>
      <w:r>
        <w:rPr>
          <w:rFonts w:ascii="Calibri" w:cs="Calibri" w:eastAsia="Calibri" w:hAnsi="Calibri"/>
          <w:b/>
          <w:bCs/>
          <w:color w:val="1F4E79"/>
          <w:sz w:val="21"/>
          <w:szCs w:val="21"/>
        </w:rPr>
        <w:t xml:space="preserve">Détection du besoin d'un entrepôt de données</w:t>
      </w:r>
    </w:p>
    <w:p>
      <w:pPr>
        <w:spacing w:after="120"/>
      </w:pPr>
      <w:r>
        <w:rPr>
          <w:rFonts w:ascii="Calibri" w:cs="Calibri" w:eastAsia="Calibri" w:hAnsi="Calibri"/>
          <w:sz w:val="21"/>
          <w:szCs w:val="21"/>
        </w:rPr>
        <w:t xml:space="preserve">Le tableau de correspondance montre que la mise en place (ou plutôt l'extension) d'un entrepôt de données central est nécessaire, pour les raisons suivantes :</w:t>
      </w:r>
    </w:p>
    <w:p>
      <w:pPr>
        <w:pStyle w:val="ListParagraph"/>
        <w:numPr>
          <w:ilvl w:val="0"/>
          <w:numId w:val="2"/>
        </w:numPr>
        <w:spacing w:after="60"/>
      </w:pPr>
      <w:r>
        <w:rPr>
          <w:sz w:val="20"/>
          <w:szCs w:val="20"/>
        </w:rPr>
        <w:t xml:space="preserve">Les deux magasins puisent dans plusieurs sources communes (S1, S2, S4, S5, S6) : sans ED, chaque magasin devrait refaire les mêmes extractions et les mêmes nettoyages, avec un risque de résultats incohérents entre la location et la vente.</w:t>
      </w:r>
    </w:p>
    <w:p>
      <w:pPr>
        <w:pStyle w:val="ListParagraph"/>
        <w:numPr>
          <w:ilvl w:val="0"/>
          <w:numId w:val="2"/>
        </w:numPr>
        <w:spacing w:after="60"/>
      </w:pPr>
      <w:r>
        <w:rPr>
          <w:sz w:val="20"/>
          <w:szCs w:val="20"/>
        </w:rPr>
        <w:t xml:space="preserve">Les deux magasins partagent les mêmes axes d'analyse (temps, produit, employé, société) : l'ED garantit des dimensions communes et un vocabulaire unique pour les deux classes de décideurs.</w:t>
      </w:r>
    </w:p>
    <w:p>
      <w:pPr>
        <w:pStyle w:val="ListParagraph"/>
        <w:numPr>
          <w:ilvl w:val="0"/>
          <w:numId w:val="2"/>
        </w:numPr>
        <w:spacing w:after="60"/>
      </w:pPr>
      <w:r>
        <w:rPr>
          <w:sz w:val="20"/>
          <w:szCs w:val="20"/>
        </w:rPr>
        <w:t xml:space="preserve">Plusieurs données doivent être historisées alors que les sources n'en gardent qu'une version : les métiers des salariés (RG9), leurs affectations aux services (RG14) et les tarifs par pays et par période (RG4). Seul un ED peut conserver cet historique.</w:t>
      </w:r>
    </w:p>
    <w:p>
      <w:pPr>
        <w:pStyle w:val="ListParagraph"/>
        <w:numPr>
          <w:ilvl w:val="0"/>
          <w:numId w:val="2"/>
        </w:numPr>
        <w:spacing w:after="60"/>
      </w:pPr>
      <w:r>
        <w:rPr>
          <w:sz w:val="20"/>
          <w:szCs w:val="20"/>
        </w:rPr>
        <w:t xml:space="preserve">Les sources sont hétérogènes et nécessitent des transformations lourdes avant analyse : correspondance matricule RH ↔ CodeE (RG6), deux modes de saisie RH (portail en France, Excel en Allemagne, RG10), rapprochement des libellés de services (RG7), conversion HT / TTC (RG5), géographie différente selon le pays (RG13), identifiants de société différents (RG16). La base RH ayant été conçue par un stagiaire, des contrôles de qualité sont indispensables.</w:t>
      </w:r>
    </w:p>
    <w:p>
      <w:pPr>
        <w:pStyle w:val="ListParagraph"/>
        <w:numPr>
          <w:ilvl w:val="0"/>
          <w:numId w:val="2"/>
        </w:numPr>
        <w:spacing w:after="60"/>
      </w:pPr>
      <w:r>
        <w:rPr>
          <w:sz w:val="20"/>
          <w:szCs w:val="20"/>
        </w:rPr>
        <w:t xml:space="preserve">Un ED existe déjà (V1, Oracle 19c, Lyon) avec deux ans d'historique : nous l'étendons plutôt que de repartir de zéro, ce qui protège l'investissement de MobiPass.</w:t>
      </w:r>
    </w:p>
    <w:p>
      <w:pPr>
        <w:spacing w:after="120"/>
      </w:pPr>
      <w:r>
        <w:rPr>
          <w:rFonts w:ascii="Calibri" w:cs="Calibri" w:eastAsia="Calibri" w:hAnsi="Calibri"/>
          <w:i/>
          <w:iCs/>
          <w:color w:val="595959"/>
          <w:sz w:val="20"/>
          <w:szCs w:val="20"/>
        </w:rPr>
        <w:t xml:space="preserve">Le schéma global de l'architecture est fourni dans le fichier MobiPass_Architecture_SAD.drawio.</w:t>
      </w:r>
    </w:p>
    <w:p>
      <w:pPr>
        <w:pStyle w:val="Heading1"/>
        <w:pageBreakBefore/>
      </w:pPr>
      <w:r>
        <w:t xml:space="preserve">Conception de l'entrepôt de données</w:t>
      </w:r>
    </w:p>
    <w:p>
      <w:pPr>
        <w:spacing w:after="120"/>
      </w:pPr>
      <w:r>
        <w:rPr>
          <w:rFonts w:ascii="Calibri" w:cs="Calibri" w:eastAsia="Calibri" w:hAnsi="Calibri"/>
          <w:sz w:val="21"/>
          <w:szCs w:val="21"/>
        </w:rPr>
        <w:t xml:space="preserve">L'entrepôt de données V2 est une évolution de l'ED actuel (V1, Oracle 19c) : nous conservons ses tables et son historique, nous en enrichissons certaines et nous en ajoutons de nouvelles pour répondre aux besoins des deux magasins. Le schéma conceptuel est fourni dans le fichier draw.io (page « 3. ED conceptuel »).</w:t>
      </w:r>
    </w:p>
    <w:p>
      <w:pPr>
        <w:pStyle w:val="Heading2"/>
      </w:pPr>
      <w:r>
        <w:t xml:space="preserve">Schéma logique relationnel déduit</w:t>
      </w:r>
    </w:p>
    <w:p>
      <w:pPr>
        <w:spacing w:after="120"/>
      </w:pPr>
      <w:r>
        <w:rPr>
          <w:rFonts w:ascii="Calibri" w:cs="Calibri" w:eastAsia="Calibri" w:hAnsi="Calibri"/>
          <w:i/>
          <w:iCs/>
          <w:color w:val="595959"/>
          <w:sz w:val="18"/>
          <w:szCs w:val="18"/>
        </w:rPr>
        <w:t xml:space="preserve">Clés primaires soulignées, clés étrangères suffixées par #. Couleur : bleu = table V1 inchangée, orange = table V1 modifiée, vert = nouvelle table.</w:t>
      </w:r>
    </w:p>
    <w:p>
      <w:pPr>
        <w:pStyle w:val="ListParagraph"/>
        <w:numPr>
          <w:ilvl w:val="0"/>
          <w:numId w:val="2"/>
        </w:numPr>
        <w:spacing w:after="40"/>
      </w:pPr>
      <w:r>
        <w:rPr>
          <w:b/>
          <w:bCs/>
          <w:color w:val="2E7D32"/>
          <w:sz w:val="20"/>
          <w:szCs w:val="20"/>
        </w:rPr>
        <w:t xml:space="preserve">PAYS</w:t>
      </w:r>
      <w:r>
        <w:rPr>
          <w:sz w:val="20"/>
          <w:szCs w:val="20"/>
        </w:rPr>
        <w:t xml:space="preserve">(</w:t>
      </w:r>
      <w:r>
        <w:rPr>
          <w:sz w:val="20"/>
          <w:szCs w:val="20"/>
          <w:u w:val="single"/>
        </w:rPr>
        <w:t xml:space="preserve">CodePays</w:t>
      </w:r>
      <w:r>
        <w:rPr>
          <w:sz w:val="20"/>
          <w:szCs w:val="20"/>
        </w:rPr>
        <w:t xml:space="preserve">, </w:t>
      </w:r>
      <w:r>
        <w:rPr>
          <w:sz w:val="20"/>
          <w:szCs w:val="20"/>
        </w:rPr>
        <w:t xml:space="preserve">NomPays</w:t>
      </w:r>
      <w:r>
        <w:rPr>
          <w:sz w:val="20"/>
          <w:szCs w:val="20"/>
        </w:rPr>
        <w:t xml:space="preserve">, </w:t>
      </w:r>
      <w:r>
        <w:rPr>
          <w:sz w:val="20"/>
          <w:szCs w:val="20"/>
        </w:rPr>
        <w:t xml:space="preserve">TauxTVA</w:t>
      </w:r>
      <w:r>
        <w:rPr>
          <w:sz w:val="20"/>
          <w:szCs w:val="20"/>
        </w:rPr>
        <w:t xml:space="preserve">)</w:t>
      </w:r>
      <w:r>
        <w:rPr>
          <w:i/>
          <w:iCs/>
          <w:color w:val="808080"/>
          <w:sz w:val="16"/>
          <w:szCs w:val="16"/>
        </w:rPr>
        <w:t xml:space="preserve">   [nouvelle]</w:t>
      </w:r>
    </w:p>
    <w:p>
      <w:pPr>
        <w:pStyle w:val="ListParagraph"/>
        <w:numPr>
          <w:ilvl w:val="0"/>
          <w:numId w:val="2"/>
        </w:numPr>
        <w:spacing w:after="40"/>
      </w:pPr>
      <w:r>
        <w:rPr>
          <w:b/>
          <w:bCs/>
          <w:color w:val="2E7D32"/>
          <w:sz w:val="20"/>
          <w:szCs w:val="20"/>
        </w:rPr>
        <w:t xml:space="preserve">ZONE_GEO</w:t>
      </w:r>
      <w:r>
        <w:rPr>
          <w:sz w:val="20"/>
          <w:szCs w:val="20"/>
        </w:rPr>
        <w:t xml:space="preserve">(</w:t>
      </w:r>
      <w:r>
        <w:rPr>
          <w:sz w:val="20"/>
          <w:szCs w:val="20"/>
          <w:u w:val="single"/>
        </w:rPr>
        <w:t xml:space="preserve">CodeZG</w:t>
      </w:r>
      <w:r>
        <w:rPr>
          <w:sz w:val="20"/>
          <w:szCs w:val="20"/>
        </w:rPr>
        <w:t xml:space="preserve">, </w:t>
      </w:r>
      <w:r>
        <w:rPr>
          <w:sz w:val="20"/>
          <w:szCs w:val="20"/>
        </w:rPr>
        <w:t xml:space="preserve">NomZG</w:t>
      </w:r>
      <w:r>
        <w:rPr>
          <w:sz w:val="20"/>
          <w:szCs w:val="20"/>
        </w:rPr>
        <w:t xml:space="preserve">, </w:t>
      </w:r>
      <w:r>
        <w:rPr>
          <w:sz w:val="20"/>
          <w:szCs w:val="20"/>
        </w:rPr>
        <w:t xml:space="preserve">NiveauZG</w:t>
      </w:r>
      <w:r>
        <w:rPr>
          <w:sz w:val="20"/>
          <w:szCs w:val="20"/>
        </w:rPr>
        <w:t xml:space="preserve">, </w:t>
      </w:r>
      <w:r>
        <w:rPr>
          <w:sz w:val="20"/>
          <w:szCs w:val="20"/>
        </w:rPr>
        <w:t xml:space="preserve">CodePays#</w:t>
      </w:r>
      <w:r>
        <w:rPr>
          <w:sz w:val="20"/>
          <w:szCs w:val="20"/>
        </w:rPr>
        <w:t xml:space="preserve">, </w:t>
      </w:r>
      <w:r>
        <w:rPr>
          <w:sz w:val="20"/>
          <w:szCs w:val="20"/>
        </w:rPr>
        <w:t xml:space="preserve">CodeZG_Sup#</w:t>
      </w:r>
      <w:r>
        <w:rPr>
          <w:sz w:val="20"/>
          <w:szCs w:val="20"/>
        </w:rPr>
        <w:t xml:space="preserve">)</w:t>
      </w:r>
      <w:r>
        <w:rPr>
          <w:i/>
          <w:iCs/>
          <w:color w:val="808080"/>
          <w:sz w:val="16"/>
          <w:szCs w:val="16"/>
        </w:rPr>
        <w:t xml:space="preserve">   [nouvelle]</w:t>
      </w:r>
    </w:p>
    <w:p>
      <w:pPr>
        <w:pStyle w:val="ListParagraph"/>
        <w:numPr>
          <w:ilvl w:val="0"/>
          <w:numId w:val="2"/>
        </w:numPr>
        <w:spacing w:after="40"/>
      </w:pPr>
      <w:r>
        <w:rPr>
          <w:b/>
          <w:bCs/>
          <w:color w:val="C55A11"/>
          <w:sz w:val="20"/>
          <w:szCs w:val="20"/>
        </w:rPr>
        <w:t xml:space="preserve">DOMAINE</w:t>
      </w:r>
      <w:r>
        <w:rPr>
          <w:sz w:val="20"/>
          <w:szCs w:val="20"/>
        </w:rPr>
        <w:t xml:space="preserve">(</w:t>
      </w:r>
      <w:r>
        <w:rPr>
          <w:sz w:val="20"/>
          <w:szCs w:val="20"/>
          <w:u w:val="single"/>
        </w:rPr>
        <w:t xml:space="preserve">CodeDO</w:t>
      </w:r>
      <w:r>
        <w:rPr>
          <w:sz w:val="20"/>
          <w:szCs w:val="20"/>
        </w:rPr>
        <w:t xml:space="preserve">, </w:t>
      </w:r>
      <w:r>
        <w:rPr>
          <w:sz w:val="20"/>
          <w:szCs w:val="20"/>
        </w:rPr>
        <w:t xml:space="preserve">NomDO</w:t>
      </w:r>
      <w:r>
        <w:rPr>
          <w:sz w:val="20"/>
          <w:szCs w:val="20"/>
        </w:rPr>
        <w:t xml:space="preserve">, </w:t>
      </w:r>
      <w:r>
        <w:rPr>
          <w:sz w:val="20"/>
          <w:szCs w:val="20"/>
        </w:rPr>
        <w:t xml:space="preserve">CodeDO_Sup#</w:t>
      </w:r>
      <w:r>
        <w:rPr>
          <w:sz w:val="20"/>
          <w:szCs w:val="20"/>
        </w:rPr>
        <w:t xml:space="preserve">)</w:t>
      </w:r>
      <w:r>
        <w:rPr>
          <w:i/>
          <w:iCs/>
          <w:color w:val="808080"/>
          <w:sz w:val="16"/>
          <w:szCs w:val="16"/>
        </w:rPr>
        <w:t xml:space="preserve">   [V1 modifiée]</w:t>
      </w:r>
    </w:p>
    <w:p>
      <w:pPr>
        <w:pStyle w:val="ListParagraph"/>
        <w:numPr>
          <w:ilvl w:val="0"/>
          <w:numId w:val="2"/>
        </w:numPr>
        <w:spacing w:after="40"/>
      </w:pPr>
      <w:r>
        <w:rPr>
          <w:b/>
          <w:bCs/>
          <w:color w:val="2E7D32"/>
          <w:sz w:val="20"/>
          <w:szCs w:val="20"/>
        </w:rPr>
        <w:t xml:space="preserve">CATEGORIE_JURIDIQUE</w:t>
      </w:r>
      <w:r>
        <w:rPr>
          <w:sz w:val="20"/>
          <w:szCs w:val="20"/>
        </w:rPr>
        <w:t xml:space="preserve">(</w:t>
      </w:r>
      <w:r>
        <w:rPr>
          <w:sz w:val="20"/>
          <w:szCs w:val="20"/>
          <w:u w:val="single"/>
        </w:rPr>
        <w:t xml:space="preserve">CodeCJ</w:t>
      </w:r>
      <w:r>
        <w:rPr>
          <w:sz w:val="20"/>
          <w:szCs w:val="20"/>
        </w:rPr>
        <w:t xml:space="preserve">, </w:t>
      </w:r>
      <w:r>
        <w:rPr>
          <w:sz w:val="20"/>
          <w:szCs w:val="20"/>
        </w:rPr>
        <w:t xml:space="preserve">LibelleCJ</w:t>
      </w:r>
      <w:r>
        <w:rPr>
          <w:sz w:val="20"/>
          <w:szCs w:val="20"/>
        </w:rPr>
        <w:t xml:space="preserve">, </w:t>
      </w:r>
      <w:r>
        <w:rPr>
          <w:sz w:val="20"/>
          <w:szCs w:val="20"/>
        </w:rPr>
        <w:t xml:space="preserve">NiveauCJ</w:t>
      </w:r>
      <w:r>
        <w:rPr>
          <w:sz w:val="20"/>
          <w:szCs w:val="20"/>
        </w:rPr>
        <w:t xml:space="preserve">, </w:t>
      </w:r>
      <w:r>
        <w:rPr>
          <w:sz w:val="20"/>
          <w:szCs w:val="20"/>
        </w:rPr>
        <w:t xml:space="preserve">CodeCJ_Sup#</w:t>
      </w:r>
      <w:r>
        <w:rPr>
          <w:sz w:val="20"/>
          <w:szCs w:val="20"/>
        </w:rPr>
        <w:t xml:space="preserve">)</w:t>
      </w:r>
      <w:r>
        <w:rPr>
          <w:i/>
          <w:iCs/>
          <w:color w:val="808080"/>
          <w:sz w:val="16"/>
          <w:szCs w:val="16"/>
        </w:rPr>
        <w:t xml:space="preserve">   [nouvelle]</w:t>
      </w:r>
    </w:p>
    <w:p>
      <w:pPr>
        <w:pStyle w:val="ListParagraph"/>
        <w:numPr>
          <w:ilvl w:val="0"/>
          <w:numId w:val="2"/>
        </w:numPr>
        <w:spacing w:after="40"/>
      </w:pPr>
      <w:r>
        <w:rPr>
          <w:b/>
          <w:bCs/>
          <w:color w:val="2E7D32"/>
          <w:sz w:val="20"/>
          <w:szCs w:val="20"/>
        </w:rPr>
        <w:t xml:space="preserve">TYPE_SOCIETE</w:t>
      </w:r>
      <w:r>
        <w:rPr>
          <w:sz w:val="20"/>
          <w:szCs w:val="20"/>
        </w:rPr>
        <w:t xml:space="preserve">(</w:t>
      </w:r>
      <w:r>
        <w:rPr>
          <w:sz w:val="20"/>
          <w:szCs w:val="20"/>
          <w:u w:val="single"/>
        </w:rPr>
        <w:t xml:space="preserve">CodeTy</w:t>
      </w:r>
      <w:r>
        <w:rPr>
          <w:sz w:val="20"/>
          <w:szCs w:val="20"/>
        </w:rPr>
        <w:t xml:space="preserve">, </w:t>
      </w:r>
      <w:r>
        <w:rPr>
          <w:sz w:val="20"/>
          <w:szCs w:val="20"/>
        </w:rPr>
        <w:t xml:space="preserve">LibelleTypeSoc</w:t>
      </w:r>
      <w:r>
        <w:rPr>
          <w:sz w:val="20"/>
          <w:szCs w:val="20"/>
        </w:rPr>
        <w:t xml:space="preserve">)</w:t>
      </w:r>
      <w:r>
        <w:rPr>
          <w:i/>
          <w:iCs/>
          <w:color w:val="808080"/>
          <w:sz w:val="16"/>
          <w:szCs w:val="16"/>
        </w:rPr>
        <w:t xml:space="preserve">   [nouvelle]</w:t>
      </w:r>
    </w:p>
    <w:p>
      <w:pPr>
        <w:pStyle w:val="ListParagraph"/>
        <w:numPr>
          <w:ilvl w:val="0"/>
          <w:numId w:val="2"/>
        </w:numPr>
        <w:spacing w:after="40"/>
      </w:pPr>
      <w:r>
        <w:rPr>
          <w:b/>
          <w:bCs/>
          <w:color w:val="C55A11"/>
          <w:sz w:val="20"/>
          <w:szCs w:val="20"/>
        </w:rPr>
        <w:t xml:space="preserve">SOCIETE</w:t>
      </w:r>
      <w:r>
        <w:rPr>
          <w:sz w:val="20"/>
          <w:szCs w:val="20"/>
        </w:rPr>
        <w:t xml:space="preserve">(</w:t>
      </w:r>
      <w:r>
        <w:rPr>
          <w:sz w:val="20"/>
          <w:szCs w:val="20"/>
          <w:u w:val="single"/>
        </w:rPr>
        <w:t xml:space="preserve">CodeSOC</w:t>
      </w:r>
      <w:r>
        <w:rPr>
          <w:sz w:val="20"/>
          <w:szCs w:val="20"/>
        </w:rPr>
        <w:t xml:space="preserve">, </w:t>
      </w:r>
      <w:r>
        <w:rPr>
          <w:sz w:val="20"/>
          <w:szCs w:val="20"/>
        </w:rPr>
        <w:t xml:space="preserve">NomSOC</w:t>
      </w:r>
      <w:r>
        <w:rPr>
          <w:sz w:val="20"/>
          <w:szCs w:val="20"/>
        </w:rPr>
        <w:t xml:space="preserve">, </w:t>
      </w:r>
      <w:r>
        <w:rPr>
          <w:sz w:val="20"/>
          <w:szCs w:val="20"/>
        </w:rPr>
        <w:t xml:space="preserve">CodeTy#</w:t>
      </w:r>
      <w:r>
        <w:rPr>
          <w:sz w:val="20"/>
          <w:szCs w:val="20"/>
        </w:rPr>
        <w:t xml:space="preserve">, </w:t>
      </w:r>
      <w:r>
        <w:rPr>
          <w:sz w:val="20"/>
          <w:szCs w:val="20"/>
        </w:rPr>
        <w:t xml:space="preserve">CodeDO#</w:t>
      </w:r>
      <w:r>
        <w:rPr>
          <w:sz w:val="20"/>
          <w:szCs w:val="20"/>
        </w:rPr>
        <w:t xml:space="preserve">, </w:t>
      </w:r>
      <w:r>
        <w:rPr>
          <w:sz w:val="20"/>
          <w:szCs w:val="20"/>
        </w:rPr>
        <w:t xml:space="preserve">CodeCJ#</w:t>
      </w:r>
      <w:r>
        <w:rPr>
          <w:sz w:val="20"/>
          <w:szCs w:val="20"/>
        </w:rPr>
        <w:t xml:space="preserve">, </w:t>
      </w:r>
      <w:r>
        <w:rPr>
          <w:sz w:val="20"/>
          <w:szCs w:val="20"/>
        </w:rPr>
        <w:t xml:space="preserve">CodeZG#</w:t>
      </w:r>
      <w:r>
        <w:rPr>
          <w:sz w:val="20"/>
          <w:szCs w:val="20"/>
        </w:rPr>
        <w:t xml:space="preserve">)</w:t>
      </w:r>
      <w:r>
        <w:rPr>
          <w:i/>
          <w:iCs/>
          <w:color w:val="808080"/>
          <w:sz w:val="16"/>
          <w:szCs w:val="16"/>
        </w:rPr>
        <w:t xml:space="preserve">   [V1 modifiée]</w:t>
      </w:r>
    </w:p>
    <w:p>
      <w:pPr>
        <w:pStyle w:val="ListParagraph"/>
        <w:numPr>
          <w:ilvl w:val="0"/>
          <w:numId w:val="2"/>
        </w:numPr>
        <w:spacing w:after="40"/>
      </w:pPr>
      <w:r>
        <w:rPr>
          <w:b/>
          <w:bCs/>
          <w:color w:val="1F4E79"/>
          <w:sz w:val="20"/>
          <w:szCs w:val="20"/>
        </w:rPr>
        <w:t xml:space="preserve">SERVICE</w:t>
      </w:r>
      <w:r>
        <w:rPr>
          <w:sz w:val="20"/>
          <w:szCs w:val="20"/>
        </w:rPr>
        <w:t xml:space="preserve">(</w:t>
      </w:r>
      <w:r>
        <w:rPr>
          <w:sz w:val="20"/>
          <w:szCs w:val="20"/>
          <w:u w:val="single"/>
        </w:rPr>
        <w:t xml:space="preserve">CodeSE</w:t>
      </w:r>
      <w:r>
        <w:rPr>
          <w:sz w:val="20"/>
          <w:szCs w:val="20"/>
        </w:rPr>
        <w:t xml:space="preserve">, </w:t>
      </w:r>
      <w:r>
        <w:rPr>
          <w:sz w:val="20"/>
          <w:szCs w:val="20"/>
        </w:rPr>
        <w:t xml:space="preserve">NomSE</w:t>
      </w:r>
      <w:r>
        <w:rPr>
          <w:sz w:val="20"/>
          <w:szCs w:val="20"/>
        </w:rPr>
        <w:t xml:space="preserve">, </w:t>
      </w:r>
      <w:r>
        <w:rPr>
          <w:sz w:val="20"/>
          <w:szCs w:val="20"/>
        </w:rPr>
        <w:t xml:space="preserve">CodeSOC#</w:t>
      </w:r>
      <w:r>
        <w:rPr>
          <w:sz w:val="20"/>
          <w:szCs w:val="20"/>
        </w:rPr>
        <w:t xml:space="preserve">)</w:t>
      </w:r>
      <w:r>
        <w:rPr>
          <w:i/>
          <w:iCs/>
          <w:color w:val="808080"/>
          <w:sz w:val="16"/>
          <w:szCs w:val="16"/>
        </w:rPr>
        <w:t xml:space="preserve">   [V1]</w:t>
      </w:r>
    </w:p>
    <w:p>
      <w:pPr>
        <w:pStyle w:val="ListParagraph"/>
        <w:numPr>
          <w:ilvl w:val="0"/>
          <w:numId w:val="2"/>
        </w:numPr>
        <w:spacing w:after="40"/>
      </w:pPr>
      <w:r>
        <w:rPr>
          <w:b/>
          <w:bCs/>
          <w:color w:val="1F4E79"/>
          <w:sz w:val="20"/>
          <w:szCs w:val="20"/>
        </w:rPr>
        <w:t xml:space="preserve">CATEGORIE</w:t>
      </w:r>
      <w:r>
        <w:rPr>
          <w:sz w:val="20"/>
          <w:szCs w:val="20"/>
        </w:rPr>
        <w:t xml:space="preserve">(</w:t>
      </w:r>
      <w:r>
        <w:rPr>
          <w:sz w:val="20"/>
          <w:szCs w:val="20"/>
          <w:u w:val="single"/>
        </w:rPr>
        <w:t xml:space="preserve">CodeCAT</w:t>
      </w:r>
      <w:r>
        <w:rPr>
          <w:sz w:val="20"/>
          <w:szCs w:val="20"/>
        </w:rPr>
        <w:t xml:space="preserve">, </w:t>
      </w:r>
      <w:r>
        <w:rPr>
          <w:sz w:val="20"/>
          <w:szCs w:val="20"/>
        </w:rPr>
        <w:t xml:space="preserve">NomCAT</w:t>
      </w:r>
      <w:r>
        <w:rPr>
          <w:sz w:val="20"/>
          <w:szCs w:val="20"/>
        </w:rPr>
        <w:t xml:space="preserve">, </w:t>
      </w:r>
      <w:r>
        <w:rPr>
          <w:sz w:val="20"/>
          <w:szCs w:val="20"/>
        </w:rPr>
        <w:t xml:space="preserve">SuperCAT</w:t>
      </w:r>
      <w:r>
        <w:rPr>
          <w:sz w:val="20"/>
          <w:szCs w:val="20"/>
        </w:rPr>
        <w:t xml:space="preserve">)</w:t>
      </w:r>
      <w:r>
        <w:rPr>
          <w:i/>
          <w:iCs/>
          <w:color w:val="808080"/>
          <w:sz w:val="16"/>
          <w:szCs w:val="16"/>
        </w:rPr>
        <w:t xml:space="preserve">   [V1]</w:t>
      </w:r>
    </w:p>
    <w:p>
      <w:pPr>
        <w:pStyle w:val="ListParagraph"/>
        <w:numPr>
          <w:ilvl w:val="0"/>
          <w:numId w:val="2"/>
        </w:numPr>
        <w:spacing w:after="40"/>
      </w:pPr>
      <w:r>
        <w:rPr>
          <w:b/>
          <w:bCs/>
          <w:color w:val="1F4E79"/>
          <w:sz w:val="20"/>
          <w:szCs w:val="20"/>
        </w:rPr>
        <w:t xml:space="preserve">EMPLOYE</w:t>
      </w:r>
      <w:r>
        <w:rPr>
          <w:sz w:val="20"/>
          <w:szCs w:val="20"/>
        </w:rPr>
        <w:t xml:space="preserve">(</w:t>
      </w:r>
      <w:r>
        <w:rPr>
          <w:sz w:val="20"/>
          <w:szCs w:val="20"/>
          <w:u w:val="single"/>
        </w:rPr>
        <w:t xml:space="preserve">CodeE</w:t>
      </w:r>
      <w:r>
        <w:rPr>
          <w:sz w:val="20"/>
          <w:szCs w:val="20"/>
        </w:rPr>
        <w:t xml:space="preserve">, </w:t>
      </w:r>
      <w:r>
        <w:rPr>
          <w:sz w:val="20"/>
          <w:szCs w:val="20"/>
        </w:rPr>
        <w:t xml:space="preserve">NomE</w:t>
      </w:r>
      <w:r>
        <w:rPr>
          <w:sz w:val="20"/>
          <w:szCs w:val="20"/>
        </w:rPr>
        <w:t xml:space="preserve">, </w:t>
      </w:r>
      <w:r>
        <w:rPr>
          <w:sz w:val="20"/>
          <w:szCs w:val="20"/>
        </w:rPr>
        <w:t xml:space="preserve">PrenomE</w:t>
      </w:r>
      <w:r>
        <w:rPr>
          <w:sz w:val="20"/>
          <w:szCs w:val="20"/>
        </w:rPr>
        <w:t xml:space="preserve">, </w:t>
      </w:r>
      <w:r>
        <w:rPr>
          <w:sz w:val="20"/>
          <w:szCs w:val="20"/>
        </w:rPr>
        <w:t xml:space="preserve">CodeCAT#</w:t>
      </w:r>
      <w:r>
        <w:rPr>
          <w:sz w:val="20"/>
          <w:szCs w:val="20"/>
        </w:rPr>
        <w:t xml:space="preserve">, </w:t>
      </w:r>
      <w:r>
        <w:rPr>
          <w:sz w:val="20"/>
          <w:szCs w:val="20"/>
        </w:rPr>
        <w:t xml:space="preserve">CodeSE#</w:t>
      </w:r>
      <w:r>
        <w:rPr>
          <w:sz w:val="20"/>
          <w:szCs w:val="20"/>
        </w:rPr>
        <w:t xml:space="preserve">)</w:t>
      </w:r>
      <w:r>
        <w:rPr>
          <w:i/>
          <w:iCs/>
          <w:color w:val="808080"/>
          <w:sz w:val="16"/>
          <w:szCs w:val="16"/>
        </w:rPr>
        <w:t xml:space="preserve">   [V1]</w:t>
      </w:r>
    </w:p>
    <w:p>
      <w:pPr>
        <w:pStyle w:val="ListParagraph"/>
        <w:numPr>
          <w:ilvl w:val="0"/>
          <w:numId w:val="2"/>
        </w:numPr>
        <w:spacing w:after="40"/>
      </w:pPr>
      <w:r>
        <w:rPr>
          <w:b/>
          <w:bCs/>
          <w:color w:val="2E7D32"/>
          <w:sz w:val="20"/>
          <w:szCs w:val="20"/>
        </w:rPr>
        <w:t xml:space="preserve">ETRE_AFFECTE</w:t>
      </w:r>
      <w:r>
        <w:rPr>
          <w:sz w:val="20"/>
          <w:szCs w:val="20"/>
        </w:rPr>
        <w:t xml:space="preserve">(</w:t>
      </w:r>
      <w:r>
        <w:rPr>
          <w:sz w:val="20"/>
          <w:szCs w:val="20"/>
          <w:u w:val="single"/>
        </w:rPr>
        <w:t xml:space="preserve">CodeE#</w:t>
      </w:r>
      <w:r>
        <w:rPr>
          <w:sz w:val="20"/>
          <w:szCs w:val="20"/>
        </w:rPr>
        <w:t xml:space="preserve">, </w:t>
      </w:r>
      <w:r>
        <w:rPr>
          <w:sz w:val="20"/>
          <w:szCs w:val="20"/>
          <w:u w:val="single"/>
        </w:rPr>
        <w:t xml:space="preserve">DateDebutAffect</w:t>
      </w:r>
      <w:r>
        <w:rPr>
          <w:sz w:val="20"/>
          <w:szCs w:val="20"/>
        </w:rPr>
        <w:t xml:space="preserve">, </w:t>
      </w:r>
      <w:r>
        <w:rPr>
          <w:sz w:val="20"/>
          <w:szCs w:val="20"/>
        </w:rPr>
        <w:t xml:space="preserve">CodeSE#</w:t>
      </w:r>
      <w:r>
        <w:rPr>
          <w:sz w:val="20"/>
          <w:szCs w:val="20"/>
        </w:rPr>
        <w:t xml:space="preserve">, </w:t>
      </w:r>
      <w:r>
        <w:rPr>
          <w:sz w:val="20"/>
          <w:szCs w:val="20"/>
        </w:rPr>
        <w:t xml:space="preserve">DateFinAffect</w:t>
      </w:r>
      <w:r>
        <w:rPr>
          <w:sz w:val="20"/>
          <w:szCs w:val="20"/>
        </w:rPr>
        <w:t xml:space="preserve">)</w:t>
      </w:r>
      <w:r>
        <w:rPr>
          <w:i/>
          <w:iCs/>
          <w:color w:val="808080"/>
          <w:sz w:val="16"/>
          <w:szCs w:val="16"/>
        </w:rPr>
        <w:t xml:space="preserve">   [nouvelle]</w:t>
      </w:r>
    </w:p>
    <w:p>
      <w:pPr>
        <w:pStyle w:val="ListParagraph"/>
        <w:numPr>
          <w:ilvl w:val="0"/>
          <w:numId w:val="2"/>
        </w:numPr>
        <w:spacing w:after="40"/>
      </w:pPr>
      <w:r>
        <w:rPr>
          <w:b/>
          <w:bCs/>
          <w:color w:val="2E7D32"/>
          <w:sz w:val="20"/>
          <w:szCs w:val="20"/>
        </w:rPr>
        <w:t xml:space="preserve">SALARIE_RH</w:t>
      </w:r>
      <w:r>
        <w:rPr>
          <w:sz w:val="20"/>
          <w:szCs w:val="20"/>
        </w:rPr>
        <w:t xml:space="preserve">(</w:t>
      </w:r>
      <w:r>
        <w:rPr>
          <w:sz w:val="20"/>
          <w:szCs w:val="20"/>
          <w:u w:val="single"/>
        </w:rPr>
        <w:t xml:space="preserve">MatriculeSAL</w:t>
      </w:r>
      <w:r>
        <w:rPr>
          <w:sz w:val="20"/>
          <w:szCs w:val="20"/>
        </w:rPr>
        <w:t xml:space="preserve">, </w:t>
      </w:r>
      <w:r>
        <w:rPr>
          <w:sz w:val="20"/>
          <w:szCs w:val="20"/>
          <w:u w:val="single"/>
        </w:rPr>
        <w:t xml:space="preserve">NumEtab</w:t>
      </w:r>
      <w:r>
        <w:rPr>
          <w:sz w:val="20"/>
          <w:szCs w:val="20"/>
        </w:rPr>
        <w:t xml:space="preserve">, </w:t>
      </w:r>
      <w:r>
        <w:rPr>
          <w:sz w:val="20"/>
          <w:szCs w:val="20"/>
        </w:rPr>
        <w:t xml:space="preserve">DateNaissSAL</w:t>
      </w:r>
      <w:r>
        <w:rPr>
          <w:sz w:val="20"/>
          <w:szCs w:val="20"/>
        </w:rPr>
        <w:t xml:space="preserve">, </w:t>
      </w:r>
      <w:r>
        <w:rPr>
          <w:sz w:val="20"/>
          <w:szCs w:val="20"/>
        </w:rPr>
        <w:t xml:space="preserve">DateEntreeSAL</w:t>
      </w:r>
      <w:r>
        <w:rPr>
          <w:sz w:val="20"/>
          <w:szCs w:val="20"/>
        </w:rPr>
        <w:t xml:space="preserve">, </w:t>
      </w:r>
      <w:r>
        <w:rPr>
          <w:sz w:val="20"/>
          <w:szCs w:val="20"/>
        </w:rPr>
        <w:t xml:space="preserve">CPResidenceSAL</w:t>
      </w:r>
      <w:r>
        <w:rPr>
          <w:sz w:val="20"/>
          <w:szCs w:val="20"/>
        </w:rPr>
        <w:t xml:space="preserve">, </w:t>
      </w:r>
      <w:r>
        <w:rPr>
          <w:sz w:val="20"/>
          <w:szCs w:val="20"/>
        </w:rPr>
        <w:t xml:space="preserve">LibelleServiceSAL</w:t>
      </w:r>
      <w:r>
        <w:rPr>
          <w:sz w:val="20"/>
          <w:szCs w:val="20"/>
        </w:rPr>
        <w:t xml:space="preserve">, </w:t>
      </w:r>
      <w:r>
        <w:rPr>
          <w:sz w:val="20"/>
          <w:szCs w:val="20"/>
        </w:rPr>
        <w:t xml:space="preserve">CodeE# (UNIQUE)</w:t>
      </w:r>
      <w:r>
        <w:rPr>
          <w:sz w:val="20"/>
          <w:szCs w:val="20"/>
        </w:rPr>
        <w:t xml:space="preserve">)</w:t>
      </w:r>
      <w:r>
        <w:rPr>
          <w:i/>
          <w:iCs/>
          <w:color w:val="808080"/>
          <w:sz w:val="16"/>
          <w:szCs w:val="16"/>
        </w:rPr>
        <w:t xml:space="preserve">   [nouvelle]</w:t>
      </w:r>
    </w:p>
    <w:p>
      <w:pPr>
        <w:pStyle w:val="ListParagraph"/>
        <w:numPr>
          <w:ilvl w:val="0"/>
          <w:numId w:val="2"/>
        </w:numPr>
        <w:spacing w:after="40"/>
      </w:pPr>
      <w:r>
        <w:rPr>
          <w:b/>
          <w:bCs/>
          <w:color w:val="2E7D32"/>
          <w:sz w:val="20"/>
          <w:szCs w:val="20"/>
        </w:rPr>
        <w:t xml:space="preserve">GRAND_DOMAINE</w:t>
      </w:r>
      <w:r>
        <w:rPr>
          <w:sz w:val="20"/>
          <w:szCs w:val="20"/>
        </w:rPr>
        <w:t xml:space="preserve">(</w:t>
      </w:r>
      <w:r>
        <w:rPr>
          <w:sz w:val="20"/>
          <w:szCs w:val="20"/>
          <w:u w:val="single"/>
        </w:rPr>
        <w:t xml:space="preserve">CodeGD</w:t>
      </w:r>
      <w:r>
        <w:rPr>
          <w:sz w:val="20"/>
          <w:szCs w:val="20"/>
        </w:rPr>
        <w:t xml:space="preserve">, </w:t>
      </w:r>
      <w:r>
        <w:rPr>
          <w:sz w:val="20"/>
          <w:szCs w:val="20"/>
        </w:rPr>
        <w:t xml:space="preserve">LibelleGD</w:t>
      </w:r>
      <w:r>
        <w:rPr>
          <w:sz w:val="20"/>
          <w:szCs w:val="20"/>
        </w:rPr>
        <w:t xml:space="preserve">)</w:t>
      </w:r>
      <w:r>
        <w:rPr>
          <w:i/>
          <w:iCs/>
          <w:color w:val="808080"/>
          <w:sz w:val="16"/>
          <w:szCs w:val="16"/>
        </w:rPr>
        <w:t xml:space="preserve">   [nouvelle]</w:t>
      </w:r>
    </w:p>
    <w:p>
      <w:pPr>
        <w:pStyle w:val="ListParagraph"/>
        <w:numPr>
          <w:ilvl w:val="0"/>
          <w:numId w:val="2"/>
        </w:numPr>
        <w:spacing w:after="40"/>
      </w:pPr>
      <w:r>
        <w:rPr>
          <w:b/>
          <w:bCs/>
          <w:color w:val="2E7D32"/>
          <w:sz w:val="20"/>
          <w:szCs w:val="20"/>
        </w:rPr>
        <w:t xml:space="preserve">DOMAINE_PRO</w:t>
      </w:r>
      <w:r>
        <w:rPr>
          <w:sz w:val="20"/>
          <w:szCs w:val="20"/>
        </w:rPr>
        <w:t xml:space="preserve">(</w:t>
      </w:r>
      <w:r>
        <w:rPr>
          <w:sz w:val="20"/>
          <w:szCs w:val="20"/>
          <w:u w:val="single"/>
        </w:rPr>
        <w:t xml:space="preserve">CodeDP</w:t>
      </w:r>
      <w:r>
        <w:rPr>
          <w:sz w:val="20"/>
          <w:szCs w:val="20"/>
        </w:rPr>
        <w:t xml:space="preserve">, </w:t>
      </w:r>
      <w:r>
        <w:rPr>
          <w:sz w:val="20"/>
          <w:szCs w:val="20"/>
        </w:rPr>
        <w:t xml:space="preserve">LibelleDP</w:t>
      </w:r>
      <w:r>
        <w:rPr>
          <w:sz w:val="20"/>
          <w:szCs w:val="20"/>
        </w:rPr>
        <w:t xml:space="preserve">, </w:t>
      </w:r>
      <w:r>
        <w:rPr>
          <w:sz w:val="20"/>
          <w:szCs w:val="20"/>
        </w:rPr>
        <w:t xml:space="preserve">CodeGD#</w:t>
      </w:r>
      <w:r>
        <w:rPr>
          <w:sz w:val="20"/>
          <w:szCs w:val="20"/>
        </w:rPr>
        <w:t xml:space="preserve">)</w:t>
      </w:r>
      <w:r>
        <w:rPr>
          <w:i/>
          <w:iCs/>
          <w:color w:val="808080"/>
          <w:sz w:val="16"/>
          <w:szCs w:val="16"/>
        </w:rPr>
        <w:t xml:space="preserve">   [nouvelle]</w:t>
      </w:r>
    </w:p>
    <w:p>
      <w:pPr>
        <w:pStyle w:val="ListParagraph"/>
        <w:numPr>
          <w:ilvl w:val="0"/>
          <w:numId w:val="2"/>
        </w:numPr>
        <w:spacing w:after="40"/>
      </w:pPr>
      <w:r>
        <w:rPr>
          <w:b/>
          <w:bCs/>
          <w:color w:val="2E7D32"/>
          <w:sz w:val="20"/>
          <w:szCs w:val="20"/>
        </w:rPr>
        <w:t xml:space="preserve">FICHE_METIER</w:t>
      </w:r>
      <w:r>
        <w:rPr>
          <w:sz w:val="20"/>
          <w:szCs w:val="20"/>
        </w:rPr>
        <w:t xml:space="preserve">(</w:t>
      </w:r>
      <w:r>
        <w:rPr>
          <w:sz w:val="20"/>
          <w:szCs w:val="20"/>
          <w:u w:val="single"/>
        </w:rPr>
        <w:t xml:space="preserve">CodeROME</w:t>
      </w:r>
      <w:r>
        <w:rPr>
          <w:sz w:val="20"/>
          <w:szCs w:val="20"/>
        </w:rPr>
        <w:t xml:space="preserve">, </w:t>
      </w:r>
      <w:r>
        <w:rPr>
          <w:sz w:val="20"/>
          <w:szCs w:val="20"/>
        </w:rPr>
        <w:t xml:space="preserve">LibelleMetier</w:t>
      </w:r>
      <w:r>
        <w:rPr>
          <w:sz w:val="20"/>
          <w:szCs w:val="20"/>
        </w:rPr>
        <w:t xml:space="preserve">, </w:t>
      </w:r>
      <w:r>
        <w:rPr>
          <w:sz w:val="20"/>
          <w:szCs w:val="20"/>
        </w:rPr>
        <w:t xml:space="preserve">CodeDP#</w:t>
      </w:r>
      <w:r>
        <w:rPr>
          <w:sz w:val="20"/>
          <w:szCs w:val="20"/>
        </w:rPr>
        <w:t xml:space="preserve">)</w:t>
      </w:r>
      <w:r>
        <w:rPr>
          <w:i/>
          <w:iCs/>
          <w:color w:val="808080"/>
          <w:sz w:val="16"/>
          <w:szCs w:val="16"/>
        </w:rPr>
        <w:t xml:space="preserve">   [nouvelle]</w:t>
      </w:r>
    </w:p>
    <w:p>
      <w:pPr>
        <w:pStyle w:val="ListParagraph"/>
        <w:numPr>
          <w:ilvl w:val="0"/>
          <w:numId w:val="2"/>
        </w:numPr>
        <w:spacing w:after="40"/>
      </w:pPr>
      <w:r>
        <w:rPr>
          <w:b/>
          <w:bCs/>
          <w:color w:val="2E7D32"/>
          <w:sz w:val="20"/>
          <w:szCs w:val="20"/>
        </w:rPr>
        <w:t xml:space="preserve">APPELLATION</w:t>
      </w:r>
      <w:r>
        <w:rPr>
          <w:sz w:val="20"/>
          <w:szCs w:val="20"/>
        </w:rPr>
        <w:t xml:space="preserve">(</w:t>
      </w:r>
      <w:r>
        <w:rPr>
          <w:sz w:val="20"/>
          <w:szCs w:val="20"/>
          <w:u w:val="single"/>
        </w:rPr>
        <w:t xml:space="preserve">CodeAPP</w:t>
      </w:r>
      <w:r>
        <w:rPr>
          <w:sz w:val="20"/>
          <w:szCs w:val="20"/>
        </w:rPr>
        <w:t xml:space="preserve">, </w:t>
      </w:r>
      <w:r>
        <w:rPr>
          <w:sz w:val="20"/>
          <w:szCs w:val="20"/>
        </w:rPr>
        <w:t xml:space="preserve">LibelleAPP</w:t>
      </w:r>
      <w:r>
        <w:rPr>
          <w:sz w:val="20"/>
          <w:szCs w:val="20"/>
        </w:rPr>
        <w:t xml:space="preserve">, </w:t>
      </w:r>
      <w:r>
        <w:rPr>
          <w:sz w:val="20"/>
          <w:szCs w:val="20"/>
        </w:rPr>
        <w:t xml:space="preserve">CodeROME#</w:t>
      </w:r>
      <w:r>
        <w:rPr>
          <w:sz w:val="20"/>
          <w:szCs w:val="20"/>
        </w:rPr>
        <w:t xml:space="preserve">)</w:t>
      </w:r>
      <w:r>
        <w:rPr>
          <w:i/>
          <w:iCs/>
          <w:color w:val="808080"/>
          <w:sz w:val="16"/>
          <w:szCs w:val="16"/>
        </w:rPr>
        <w:t xml:space="preserve">   [nouvelle]</w:t>
      </w:r>
    </w:p>
    <w:p>
      <w:pPr>
        <w:pStyle w:val="ListParagraph"/>
        <w:numPr>
          <w:ilvl w:val="0"/>
          <w:numId w:val="2"/>
        </w:numPr>
        <w:spacing w:after="40"/>
      </w:pPr>
      <w:r>
        <w:rPr>
          <w:b/>
          <w:bCs/>
          <w:color w:val="2E7D32"/>
          <w:sz w:val="20"/>
          <w:szCs w:val="20"/>
        </w:rPr>
        <w:t xml:space="preserve">EXERCER</w:t>
      </w:r>
      <w:r>
        <w:rPr>
          <w:sz w:val="20"/>
          <w:szCs w:val="20"/>
        </w:rPr>
        <w:t xml:space="preserve">(</w:t>
      </w:r>
      <w:r>
        <w:rPr>
          <w:sz w:val="20"/>
          <w:szCs w:val="20"/>
          <w:u w:val="single"/>
        </w:rPr>
        <w:t xml:space="preserve">MatriculeSAL#</w:t>
      </w:r>
      <w:r>
        <w:rPr>
          <w:sz w:val="20"/>
          <w:szCs w:val="20"/>
        </w:rPr>
        <w:t xml:space="preserve">, </w:t>
      </w:r>
      <w:r>
        <w:rPr>
          <w:sz w:val="20"/>
          <w:szCs w:val="20"/>
          <w:u w:val="single"/>
        </w:rPr>
        <w:t xml:space="preserve">NumEtab#</w:t>
      </w:r>
      <w:r>
        <w:rPr>
          <w:sz w:val="20"/>
          <w:szCs w:val="20"/>
        </w:rPr>
        <w:t xml:space="preserve">, </w:t>
      </w:r>
      <w:r>
        <w:rPr>
          <w:sz w:val="20"/>
          <w:szCs w:val="20"/>
          <w:u w:val="single"/>
        </w:rPr>
        <w:t xml:space="preserve">DateDebutMetier</w:t>
      </w:r>
      <w:r>
        <w:rPr>
          <w:sz w:val="20"/>
          <w:szCs w:val="20"/>
        </w:rPr>
        <w:t xml:space="preserve">, </w:t>
      </w:r>
      <w:r>
        <w:rPr>
          <w:sz w:val="20"/>
          <w:szCs w:val="20"/>
        </w:rPr>
        <w:t xml:space="preserve">CodeAPP#</w:t>
      </w:r>
      <w:r>
        <w:rPr>
          <w:sz w:val="20"/>
          <w:szCs w:val="20"/>
        </w:rPr>
        <w:t xml:space="preserve">, </w:t>
      </w:r>
      <w:r>
        <w:rPr>
          <w:sz w:val="20"/>
          <w:szCs w:val="20"/>
        </w:rPr>
        <w:t xml:space="preserve">DateFinMetier</w:t>
      </w:r>
      <w:r>
        <w:rPr>
          <w:sz w:val="20"/>
          <w:szCs w:val="20"/>
        </w:rPr>
        <w:t xml:space="preserve">, </w:t>
      </w:r>
      <w:r>
        <w:rPr>
          <w:sz w:val="20"/>
          <w:szCs w:val="20"/>
        </w:rPr>
        <w:t xml:space="preserve">TypeContrat</w:t>
      </w:r>
      <w:r>
        <w:rPr>
          <w:sz w:val="20"/>
          <w:szCs w:val="20"/>
        </w:rPr>
        <w:t xml:space="preserve">)</w:t>
      </w:r>
      <w:r>
        <w:rPr>
          <w:i/>
          <w:iCs/>
          <w:color w:val="808080"/>
          <w:sz w:val="16"/>
          <w:szCs w:val="16"/>
        </w:rPr>
        <w:t xml:space="preserve">   [nouvelle]</w:t>
      </w:r>
    </w:p>
    <w:p>
      <w:pPr>
        <w:pStyle w:val="ListParagraph"/>
        <w:numPr>
          <w:ilvl w:val="0"/>
          <w:numId w:val="2"/>
        </w:numPr>
        <w:spacing w:after="40"/>
      </w:pPr>
      <w:r>
        <w:rPr>
          <w:b/>
          <w:bCs/>
          <w:color w:val="2E7D32"/>
          <w:sz w:val="20"/>
          <w:szCs w:val="20"/>
        </w:rPr>
        <w:t xml:space="preserve">FABRICANT</w:t>
      </w:r>
      <w:r>
        <w:rPr>
          <w:sz w:val="20"/>
          <w:szCs w:val="20"/>
        </w:rPr>
        <w:t xml:space="preserve">(</w:t>
      </w:r>
      <w:r>
        <w:rPr>
          <w:sz w:val="20"/>
          <w:szCs w:val="20"/>
          <w:u w:val="single"/>
        </w:rPr>
        <w:t xml:space="preserve">CodeFAB</w:t>
      </w:r>
      <w:r>
        <w:rPr>
          <w:sz w:val="20"/>
          <w:szCs w:val="20"/>
        </w:rPr>
        <w:t xml:space="preserve">, </w:t>
      </w:r>
      <w:r>
        <w:rPr>
          <w:sz w:val="20"/>
          <w:szCs w:val="20"/>
        </w:rPr>
        <w:t xml:space="preserve">NomFAB</w:t>
      </w:r>
      <w:r>
        <w:rPr>
          <w:sz w:val="20"/>
          <w:szCs w:val="20"/>
        </w:rPr>
        <w:t xml:space="preserve">, </w:t>
      </w:r>
      <w:r>
        <w:rPr>
          <w:sz w:val="20"/>
          <w:szCs w:val="20"/>
        </w:rPr>
        <w:t xml:space="preserve">PaysFAB</w:t>
      </w:r>
      <w:r>
        <w:rPr>
          <w:sz w:val="20"/>
          <w:szCs w:val="20"/>
        </w:rPr>
        <w:t xml:space="preserve">)</w:t>
      </w:r>
      <w:r>
        <w:rPr>
          <w:i/>
          <w:iCs/>
          <w:color w:val="808080"/>
          <w:sz w:val="16"/>
          <w:szCs w:val="16"/>
        </w:rPr>
        <w:t xml:space="preserve">   [nouvelle]</w:t>
      </w:r>
    </w:p>
    <w:p>
      <w:pPr>
        <w:pStyle w:val="ListParagraph"/>
        <w:numPr>
          <w:ilvl w:val="0"/>
          <w:numId w:val="2"/>
        </w:numPr>
        <w:spacing w:after="40"/>
      </w:pPr>
      <w:r>
        <w:rPr>
          <w:b/>
          <w:bCs/>
          <w:color w:val="2E7D32"/>
          <w:sz w:val="20"/>
          <w:szCs w:val="20"/>
        </w:rPr>
        <w:t xml:space="preserve">GENERATION</w:t>
      </w:r>
      <w:r>
        <w:rPr>
          <w:sz w:val="20"/>
          <w:szCs w:val="20"/>
        </w:rPr>
        <w:t xml:space="preserve">(</w:t>
      </w:r>
      <w:r>
        <w:rPr>
          <w:sz w:val="20"/>
          <w:szCs w:val="20"/>
          <w:u w:val="single"/>
        </w:rPr>
        <w:t xml:space="preserve">CodeGEN</w:t>
      </w:r>
      <w:r>
        <w:rPr>
          <w:sz w:val="20"/>
          <w:szCs w:val="20"/>
        </w:rPr>
        <w:t xml:space="preserve">, </w:t>
      </w:r>
      <w:r>
        <w:rPr>
          <w:sz w:val="20"/>
          <w:szCs w:val="20"/>
        </w:rPr>
        <w:t xml:space="preserve">NomGEN</w:t>
      </w:r>
      <w:r>
        <w:rPr>
          <w:sz w:val="20"/>
          <w:szCs w:val="20"/>
        </w:rPr>
        <w:t xml:space="preserve">, </w:t>
      </w:r>
      <w:r>
        <w:rPr>
          <w:sz w:val="20"/>
          <w:szCs w:val="20"/>
        </w:rPr>
        <w:t xml:space="preserve">DateSortieGEN</w:t>
      </w:r>
      <w:r>
        <w:rPr>
          <w:sz w:val="20"/>
          <w:szCs w:val="20"/>
        </w:rPr>
        <w:t xml:space="preserve">, </w:t>
      </w:r>
      <w:r>
        <w:rPr>
          <w:sz w:val="20"/>
          <w:szCs w:val="20"/>
        </w:rPr>
        <w:t xml:space="preserve">DateArretGEN</w:t>
      </w:r>
      <w:r>
        <w:rPr>
          <w:sz w:val="20"/>
          <w:szCs w:val="20"/>
        </w:rPr>
        <w:t xml:space="preserve">, </w:t>
      </w:r>
      <w:r>
        <w:rPr>
          <w:sz w:val="20"/>
          <w:szCs w:val="20"/>
        </w:rPr>
        <w:t xml:space="preserve">CodeFAB#</w:t>
      </w:r>
      <w:r>
        <w:rPr>
          <w:sz w:val="20"/>
          <w:szCs w:val="20"/>
        </w:rPr>
        <w:t xml:space="preserve">)</w:t>
      </w:r>
      <w:r>
        <w:rPr>
          <w:i/>
          <w:iCs/>
          <w:color w:val="808080"/>
          <w:sz w:val="16"/>
          <w:szCs w:val="16"/>
        </w:rPr>
        <w:t xml:space="preserve">   [nouvelle]</w:t>
      </w:r>
    </w:p>
    <w:p>
      <w:pPr>
        <w:pStyle w:val="ListParagraph"/>
        <w:numPr>
          <w:ilvl w:val="0"/>
          <w:numId w:val="2"/>
        </w:numPr>
        <w:spacing w:after="40"/>
      </w:pPr>
      <w:r>
        <w:rPr>
          <w:b/>
          <w:bCs/>
          <w:color w:val="1F4E79"/>
          <w:sz w:val="20"/>
          <w:szCs w:val="20"/>
        </w:rPr>
        <w:t xml:space="preserve">GAMME</w:t>
      </w:r>
      <w:r>
        <w:rPr>
          <w:sz w:val="20"/>
          <w:szCs w:val="20"/>
        </w:rPr>
        <w:t xml:space="preserve">(</w:t>
      </w:r>
      <w:r>
        <w:rPr>
          <w:sz w:val="20"/>
          <w:szCs w:val="20"/>
          <w:u w:val="single"/>
        </w:rPr>
        <w:t xml:space="preserve">CodeG</w:t>
      </w:r>
      <w:r>
        <w:rPr>
          <w:sz w:val="20"/>
          <w:szCs w:val="20"/>
        </w:rPr>
        <w:t xml:space="preserve">, </w:t>
      </w:r>
      <w:r>
        <w:rPr>
          <w:sz w:val="20"/>
          <w:szCs w:val="20"/>
        </w:rPr>
        <w:t xml:space="preserve">NomG</w:t>
      </w:r>
      <w:r>
        <w:rPr>
          <w:sz w:val="20"/>
          <w:szCs w:val="20"/>
        </w:rPr>
        <w:t xml:space="preserve">, </w:t>
      </w:r>
      <w:r>
        <w:rPr>
          <w:sz w:val="20"/>
          <w:szCs w:val="20"/>
        </w:rPr>
        <w:t xml:space="preserve">SecteurG</w:t>
      </w:r>
      <w:r>
        <w:rPr>
          <w:sz w:val="20"/>
          <w:szCs w:val="20"/>
        </w:rPr>
        <w:t xml:space="preserve">)</w:t>
      </w:r>
      <w:r>
        <w:rPr>
          <w:i/>
          <w:iCs/>
          <w:color w:val="808080"/>
          <w:sz w:val="16"/>
          <w:szCs w:val="16"/>
        </w:rPr>
        <w:t xml:space="preserve">   [V1]</w:t>
      </w:r>
    </w:p>
    <w:p>
      <w:pPr>
        <w:pStyle w:val="ListParagraph"/>
        <w:numPr>
          <w:ilvl w:val="0"/>
          <w:numId w:val="2"/>
        </w:numPr>
        <w:spacing w:after="40"/>
      </w:pPr>
      <w:r>
        <w:rPr>
          <w:b/>
          <w:bCs/>
          <w:color w:val="C55A11"/>
          <w:sz w:val="20"/>
          <w:szCs w:val="20"/>
        </w:rPr>
        <w:t xml:space="preserve">PRODUIT</w:t>
      </w:r>
      <w:r>
        <w:rPr>
          <w:sz w:val="20"/>
          <w:szCs w:val="20"/>
        </w:rPr>
        <w:t xml:space="preserve">(</w:t>
      </w:r>
      <w:r>
        <w:rPr>
          <w:sz w:val="20"/>
          <w:szCs w:val="20"/>
          <w:u w:val="single"/>
        </w:rPr>
        <w:t xml:space="preserve">CodeP</w:t>
      </w:r>
      <w:r>
        <w:rPr>
          <w:sz w:val="20"/>
          <w:szCs w:val="20"/>
        </w:rPr>
        <w:t xml:space="preserve">, </w:t>
      </w:r>
      <w:r>
        <w:rPr>
          <w:sz w:val="20"/>
          <w:szCs w:val="20"/>
        </w:rPr>
        <w:t xml:space="preserve">NomP</w:t>
      </w:r>
      <w:r>
        <w:rPr>
          <w:sz w:val="20"/>
          <w:szCs w:val="20"/>
        </w:rPr>
        <w:t xml:space="preserve">, </w:t>
      </w:r>
      <w:r>
        <w:rPr>
          <w:sz w:val="20"/>
          <w:szCs w:val="20"/>
        </w:rPr>
        <w:t xml:space="preserve">MarqueP</w:t>
      </w:r>
      <w:r>
        <w:rPr>
          <w:sz w:val="20"/>
          <w:szCs w:val="20"/>
        </w:rPr>
        <w:t xml:space="preserve">, </w:t>
      </w:r>
      <w:r>
        <w:rPr>
          <w:sz w:val="20"/>
          <w:szCs w:val="20"/>
        </w:rPr>
        <w:t xml:space="preserve">DescriptifP</w:t>
      </w:r>
      <w:r>
        <w:rPr>
          <w:sz w:val="20"/>
          <w:szCs w:val="20"/>
        </w:rPr>
        <w:t xml:space="preserve">, </w:t>
      </w:r>
      <w:r>
        <w:rPr>
          <w:sz w:val="20"/>
          <w:szCs w:val="20"/>
        </w:rPr>
        <w:t xml:space="preserve">PoidsKg</w:t>
      </w:r>
      <w:r>
        <w:rPr>
          <w:sz w:val="20"/>
          <w:szCs w:val="20"/>
        </w:rPr>
        <w:t xml:space="preserve">, </w:t>
      </w:r>
      <w:r>
        <w:rPr>
          <w:sz w:val="20"/>
          <w:szCs w:val="20"/>
        </w:rPr>
        <w:t xml:space="preserve">AutonomieKm</w:t>
      </w:r>
      <w:r>
        <w:rPr>
          <w:sz w:val="20"/>
          <w:szCs w:val="20"/>
        </w:rPr>
        <w:t xml:space="preserve">, </w:t>
      </w:r>
      <w:r>
        <w:rPr>
          <w:sz w:val="20"/>
          <w:szCs w:val="20"/>
        </w:rPr>
        <w:t xml:space="preserve">CodeG#</w:t>
      </w:r>
      <w:r>
        <w:rPr>
          <w:sz w:val="20"/>
          <w:szCs w:val="20"/>
        </w:rPr>
        <w:t xml:space="preserve">, </w:t>
      </w:r>
      <w:r>
        <w:rPr>
          <w:sz w:val="20"/>
          <w:szCs w:val="20"/>
        </w:rPr>
        <w:t xml:space="preserve">CodeGEN#</w:t>
      </w:r>
      <w:r>
        <w:rPr>
          <w:sz w:val="20"/>
          <w:szCs w:val="20"/>
        </w:rPr>
        <w:t xml:space="preserve">)</w:t>
      </w:r>
      <w:r>
        <w:rPr>
          <w:i/>
          <w:iCs/>
          <w:color w:val="808080"/>
          <w:sz w:val="16"/>
          <w:szCs w:val="16"/>
        </w:rPr>
        <w:t xml:space="preserve">   [V1 modifiée]</w:t>
      </w:r>
    </w:p>
    <w:p>
      <w:pPr>
        <w:pStyle w:val="ListParagraph"/>
        <w:numPr>
          <w:ilvl w:val="0"/>
          <w:numId w:val="2"/>
        </w:numPr>
        <w:spacing w:after="40"/>
      </w:pPr>
      <w:r>
        <w:rPr>
          <w:b/>
          <w:bCs/>
          <w:color w:val="2E7D32"/>
          <w:sz w:val="20"/>
          <w:szCs w:val="20"/>
        </w:rPr>
        <w:t xml:space="preserve">TARIF</w:t>
      </w:r>
      <w:r>
        <w:rPr>
          <w:sz w:val="20"/>
          <w:szCs w:val="20"/>
        </w:rPr>
        <w:t xml:space="preserve">(</w:t>
      </w:r>
      <w:r>
        <w:rPr>
          <w:sz w:val="20"/>
          <w:szCs w:val="20"/>
          <w:u w:val="single"/>
        </w:rPr>
        <w:t xml:space="preserve">CodeP#</w:t>
      </w:r>
      <w:r>
        <w:rPr>
          <w:sz w:val="20"/>
          <w:szCs w:val="20"/>
        </w:rPr>
        <w:t xml:space="preserve">, </w:t>
      </w:r>
      <w:r>
        <w:rPr>
          <w:sz w:val="20"/>
          <w:szCs w:val="20"/>
          <w:u w:val="single"/>
        </w:rPr>
        <w:t xml:space="preserve">CodePays#</w:t>
      </w:r>
      <w:r>
        <w:rPr>
          <w:sz w:val="20"/>
          <w:szCs w:val="20"/>
        </w:rPr>
        <w:t xml:space="preserve">, </w:t>
      </w:r>
      <w:r>
        <w:rPr>
          <w:sz w:val="20"/>
          <w:szCs w:val="20"/>
          <w:u w:val="single"/>
        </w:rPr>
        <w:t xml:space="preserve">DateDebutTarif</w:t>
      </w:r>
      <w:r>
        <w:rPr>
          <w:sz w:val="20"/>
          <w:szCs w:val="20"/>
        </w:rPr>
        <w:t xml:space="preserve">, </w:t>
      </w:r>
      <w:r>
        <w:rPr>
          <w:sz w:val="20"/>
          <w:szCs w:val="20"/>
        </w:rPr>
        <w:t xml:space="preserve">DateFinTarif</w:t>
      </w:r>
      <w:r>
        <w:rPr>
          <w:sz w:val="20"/>
          <w:szCs w:val="20"/>
        </w:rPr>
        <w:t xml:space="preserve">, </w:t>
      </w:r>
      <w:r>
        <w:rPr>
          <w:sz w:val="20"/>
          <w:szCs w:val="20"/>
        </w:rPr>
        <w:t xml:space="preserve">Prix_loc_jour</w:t>
      </w:r>
      <w:r>
        <w:rPr>
          <w:sz w:val="20"/>
          <w:szCs w:val="20"/>
        </w:rPr>
        <w:t xml:space="preserve">, </w:t>
      </w:r>
      <w:r>
        <w:rPr>
          <w:sz w:val="20"/>
          <w:szCs w:val="20"/>
        </w:rPr>
        <w:t xml:space="preserve">Prix_vente</w:t>
      </w:r>
      <w:r>
        <w:rPr>
          <w:sz w:val="20"/>
          <w:szCs w:val="20"/>
        </w:rPr>
        <w:t xml:space="preserve">, </w:t>
      </w:r>
      <w:r>
        <w:rPr>
          <w:sz w:val="20"/>
          <w:szCs w:val="20"/>
        </w:rPr>
        <w:t xml:space="preserve">ModePrix</w:t>
      </w:r>
      <w:r>
        <w:rPr>
          <w:sz w:val="20"/>
          <w:szCs w:val="20"/>
        </w:rPr>
        <w:t xml:space="preserve">)</w:t>
      </w:r>
      <w:r>
        <w:rPr>
          <w:i/>
          <w:iCs/>
          <w:color w:val="808080"/>
          <w:sz w:val="16"/>
          <w:szCs w:val="16"/>
        </w:rPr>
        <w:t xml:space="preserve">   [nouvelle]</w:t>
      </w:r>
    </w:p>
    <w:p>
      <w:pPr>
        <w:pStyle w:val="ListParagraph"/>
        <w:numPr>
          <w:ilvl w:val="0"/>
          <w:numId w:val="2"/>
        </w:numPr>
        <w:spacing w:after="40"/>
      </w:pPr>
      <w:r>
        <w:rPr>
          <w:b/>
          <w:bCs/>
          <w:color w:val="2E7D32"/>
          <w:sz w:val="20"/>
          <w:szCs w:val="20"/>
        </w:rPr>
        <w:t xml:space="preserve">AGENCE</w:t>
      </w:r>
      <w:r>
        <w:rPr>
          <w:sz w:val="20"/>
          <w:szCs w:val="20"/>
        </w:rPr>
        <w:t xml:space="preserve">(</w:t>
      </w:r>
      <w:r>
        <w:rPr>
          <w:sz w:val="20"/>
          <w:szCs w:val="20"/>
          <w:u w:val="single"/>
        </w:rPr>
        <w:t xml:space="preserve">CodeAG</w:t>
      </w:r>
      <w:r>
        <w:rPr>
          <w:sz w:val="20"/>
          <w:szCs w:val="20"/>
        </w:rPr>
        <w:t xml:space="preserve">, </w:t>
      </w:r>
      <w:r>
        <w:rPr>
          <w:sz w:val="20"/>
          <w:szCs w:val="20"/>
        </w:rPr>
        <w:t xml:space="preserve">NomAG</w:t>
      </w:r>
      <w:r>
        <w:rPr>
          <w:sz w:val="20"/>
          <w:szCs w:val="20"/>
        </w:rPr>
        <w:t xml:space="preserve">, </w:t>
      </w:r>
      <w:r>
        <w:rPr>
          <w:sz w:val="20"/>
          <w:szCs w:val="20"/>
        </w:rPr>
        <w:t xml:space="preserve">VilleAG</w:t>
      </w:r>
      <w:r>
        <w:rPr>
          <w:sz w:val="20"/>
          <w:szCs w:val="20"/>
        </w:rPr>
        <w:t xml:space="preserve">, </w:t>
      </w:r>
      <w:r>
        <w:rPr>
          <w:sz w:val="20"/>
          <w:szCs w:val="20"/>
        </w:rPr>
        <w:t xml:space="preserve">CodePays#</w:t>
      </w:r>
      <w:r>
        <w:rPr>
          <w:sz w:val="20"/>
          <w:szCs w:val="20"/>
        </w:rPr>
        <w:t xml:space="preserve">)</w:t>
      </w:r>
      <w:r>
        <w:rPr>
          <w:i/>
          <w:iCs/>
          <w:color w:val="808080"/>
          <w:sz w:val="16"/>
          <w:szCs w:val="16"/>
        </w:rPr>
        <w:t xml:space="preserve">   [nouvelle]</w:t>
      </w:r>
    </w:p>
    <w:p>
      <w:pPr>
        <w:pStyle w:val="ListParagraph"/>
        <w:numPr>
          <w:ilvl w:val="0"/>
          <w:numId w:val="2"/>
        </w:numPr>
        <w:spacing w:after="40"/>
      </w:pPr>
      <w:r>
        <w:rPr>
          <w:b/>
          <w:bCs/>
          <w:color w:val="C55A11"/>
          <w:sz w:val="20"/>
          <w:szCs w:val="20"/>
        </w:rPr>
        <w:t xml:space="preserve">EXEMPLAIRE</w:t>
      </w:r>
      <w:r>
        <w:rPr>
          <w:sz w:val="20"/>
          <w:szCs w:val="20"/>
        </w:rPr>
        <w:t xml:space="preserve">(</w:t>
      </w:r>
      <w:r>
        <w:rPr>
          <w:sz w:val="20"/>
          <w:szCs w:val="20"/>
          <w:u w:val="single"/>
        </w:rPr>
        <w:t xml:space="preserve">CodeEX</w:t>
      </w:r>
      <w:r>
        <w:rPr>
          <w:sz w:val="20"/>
          <w:szCs w:val="20"/>
        </w:rPr>
        <w:t xml:space="preserve">, </w:t>
      </w:r>
      <w:r>
        <w:rPr>
          <w:sz w:val="20"/>
          <w:szCs w:val="20"/>
        </w:rPr>
        <w:t xml:space="preserve">NumSerieEX</w:t>
      </w:r>
      <w:r>
        <w:rPr>
          <w:sz w:val="20"/>
          <w:szCs w:val="20"/>
        </w:rPr>
        <w:t xml:space="preserve">, </w:t>
      </w:r>
      <w:r>
        <w:rPr>
          <w:sz w:val="20"/>
          <w:szCs w:val="20"/>
        </w:rPr>
        <w:t xml:space="preserve">DateMiseServiceEX</w:t>
      </w:r>
      <w:r>
        <w:rPr>
          <w:sz w:val="20"/>
          <w:szCs w:val="20"/>
        </w:rPr>
        <w:t xml:space="preserve">, </w:t>
      </w:r>
      <w:r>
        <w:rPr>
          <w:sz w:val="20"/>
          <w:szCs w:val="20"/>
        </w:rPr>
        <w:t xml:space="preserve">DateReformeEX</w:t>
      </w:r>
      <w:r>
        <w:rPr>
          <w:sz w:val="20"/>
          <w:szCs w:val="20"/>
        </w:rPr>
        <w:t xml:space="preserve">, </w:t>
      </w:r>
      <w:r>
        <w:rPr>
          <w:sz w:val="20"/>
          <w:szCs w:val="20"/>
        </w:rPr>
        <w:t xml:space="preserve">CodeP#</w:t>
      </w:r>
      <w:r>
        <w:rPr>
          <w:sz w:val="20"/>
          <w:szCs w:val="20"/>
        </w:rPr>
        <w:t xml:space="preserve">, </w:t>
      </w:r>
      <w:r>
        <w:rPr>
          <w:sz w:val="20"/>
          <w:szCs w:val="20"/>
        </w:rPr>
        <w:t xml:space="preserve">CodeAG#</w:t>
      </w:r>
      <w:r>
        <w:rPr>
          <w:sz w:val="20"/>
          <w:szCs w:val="20"/>
        </w:rPr>
        <w:t xml:space="preserve">)</w:t>
      </w:r>
      <w:r>
        <w:rPr>
          <w:i/>
          <w:iCs/>
          <w:color w:val="808080"/>
          <w:sz w:val="16"/>
          <w:szCs w:val="16"/>
        </w:rPr>
        <w:t xml:space="preserve">   [V1 modifiée]</w:t>
      </w:r>
    </w:p>
    <w:p>
      <w:pPr>
        <w:pStyle w:val="ListParagraph"/>
        <w:numPr>
          <w:ilvl w:val="0"/>
          <w:numId w:val="2"/>
        </w:numPr>
        <w:spacing w:after="40"/>
      </w:pPr>
      <w:r>
        <w:rPr>
          <w:b/>
          <w:bCs/>
          <w:color w:val="1F4E79"/>
          <w:sz w:val="20"/>
          <w:szCs w:val="20"/>
        </w:rPr>
        <w:t xml:space="preserve">REDUCTION</w:t>
      </w:r>
      <w:r>
        <w:rPr>
          <w:sz w:val="20"/>
          <w:szCs w:val="20"/>
        </w:rPr>
        <w:t xml:space="preserve">(</w:t>
      </w:r>
      <w:r>
        <w:rPr>
          <w:sz w:val="20"/>
          <w:szCs w:val="20"/>
          <w:u w:val="single"/>
        </w:rPr>
        <w:t xml:space="preserve">CodeG#</w:t>
      </w:r>
      <w:r>
        <w:rPr>
          <w:sz w:val="20"/>
          <w:szCs w:val="20"/>
        </w:rPr>
        <w:t xml:space="preserve">, </w:t>
      </w:r>
      <w:r>
        <w:rPr>
          <w:sz w:val="20"/>
          <w:szCs w:val="20"/>
          <w:u w:val="single"/>
        </w:rPr>
        <w:t xml:space="preserve">CodeCAT#</w:t>
      </w:r>
      <w:r>
        <w:rPr>
          <w:sz w:val="20"/>
          <w:szCs w:val="20"/>
        </w:rPr>
        <w:t xml:space="preserve">, </w:t>
      </w:r>
      <w:r>
        <w:rPr>
          <w:sz w:val="20"/>
          <w:szCs w:val="20"/>
          <w:u w:val="single"/>
        </w:rPr>
        <w:t xml:space="preserve">Annee</w:t>
      </w:r>
      <w:r>
        <w:rPr>
          <w:sz w:val="20"/>
          <w:szCs w:val="20"/>
        </w:rPr>
        <w:t xml:space="preserve">, </w:t>
      </w:r>
      <w:r>
        <w:rPr>
          <w:sz w:val="20"/>
          <w:szCs w:val="20"/>
        </w:rPr>
        <w:t xml:space="preserve">PctReduc_Loc</w:t>
      </w:r>
      <w:r>
        <w:rPr>
          <w:sz w:val="20"/>
          <w:szCs w:val="20"/>
        </w:rPr>
        <w:t xml:space="preserve">, </w:t>
      </w:r>
      <w:r>
        <w:rPr>
          <w:sz w:val="20"/>
          <w:szCs w:val="20"/>
        </w:rPr>
        <w:t xml:space="preserve">PctReduc_Achat</w:t>
      </w:r>
      <w:r>
        <w:rPr>
          <w:sz w:val="20"/>
          <w:szCs w:val="20"/>
        </w:rPr>
        <w:t xml:space="preserve">)</w:t>
      </w:r>
      <w:r>
        <w:rPr>
          <w:i/>
          <w:iCs/>
          <w:color w:val="808080"/>
          <w:sz w:val="16"/>
          <w:szCs w:val="16"/>
        </w:rPr>
        <w:t xml:space="preserve">   [V1]</w:t>
      </w:r>
    </w:p>
    <w:p>
      <w:pPr>
        <w:pStyle w:val="ListParagraph"/>
        <w:numPr>
          <w:ilvl w:val="0"/>
          <w:numId w:val="2"/>
        </w:numPr>
        <w:spacing w:after="40"/>
      </w:pPr>
      <w:r>
        <w:rPr>
          <w:b/>
          <w:bCs/>
          <w:color w:val="1F4E79"/>
          <w:sz w:val="20"/>
          <w:szCs w:val="20"/>
        </w:rPr>
        <w:t xml:space="preserve">ACHAT</w:t>
      </w:r>
      <w:r>
        <w:rPr>
          <w:sz w:val="20"/>
          <w:szCs w:val="20"/>
        </w:rPr>
        <w:t xml:space="preserve">(</w:t>
      </w:r>
      <w:r>
        <w:rPr>
          <w:sz w:val="20"/>
          <w:szCs w:val="20"/>
          <w:u w:val="single"/>
        </w:rPr>
        <w:t xml:space="preserve">CodeP#</w:t>
      </w:r>
      <w:r>
        <w:rPr>
          <w:sz w:val="20"/>
          <w:szCs w:val="20"/>
        </w:rPr>
        <w:t xml:space="preserve">, </w:t>
      </w:r>
      <w:r>
        <w:rPr>
          <w:sz w:val="20"/>
          <w:szCs w:val="20"/>
          <w:u w:val="single"/>
        </w:rPr>
        <w:t xml:space="preserve">CodeE#</w:t>
      </w:r>
      <w:r>
        <w:rPr>
          <w:sz w:val="20"/>
          <w:szCs w:val="20"/>
        </w:rPr>
        <w:t xml:space="preserve">, </w:t>
      </w:r>
      <w:r>
        <w:rPr>
          <w:sz w:val="20"/>
          <w:szCs w:val="20"/>
          <w:u w:val="single"/>
        </w:rPr>
        <w:t xml:space="preserve">DateA</w:t>
      </w:r>
      <w:r>
        <w:rPr>
          <w:sz w:val="20"/>
          <w:szCs w:val="20"/>
        </w:rPr>
        <w:t xml:space="preserve">, </w:t>
      </w:r>
      <w:r>
        <w:rPr>
          <w:sz w:val="20"/>
          <w:szCs w:val="20"/>
        </w:rPr>
        <w:t xml:space="preserve">Qte</w:t>
      </w:r>
      <w:r>
        <w:rPr>
          <w:sz w:val="20"/>
          <w:szCs w:val="20"/>
        </w:rPr>
        <w:t xml:space="preserve">)</w:t>
      </w:r>
      <w:r>
        <w:rPr>
          <w:i/>
          <w:iCs/>
          <w:color w:val="808080"/>
          <w:sz w:val="16"/>
          <w:szCs w:val="16"/>
        </w:rPr>
        <w:t xml:space="preserve">   [V1]</w:t>
      </w:r>
    </w:p>
    <w:p>
      <w:pPr>
        <w:pStyle w:val="ListParagraph"/>
        <w:numPr>
          <w:ilvl w:val="0"/>
          <w:numId w:val="2"/>
        </w:numPr>
        <w:spacing w:after="40"/>
      </w:pPr>
      <w:r>
        <w:rPr>
          <w:b/>
          <w:bCs/>
          <w:color w:val="1F4E79"/>
          <w:sz w:val="20"/>
          <w:szCs w:val="20"/>
        </w:rPr>
        <w:t xml:space="preserve">RESERVER</w:t>
      </w:r>
      <w:r>
        <w:rPr>
          <w:sz w:val="20"/>
          <w:szCs w:val="20"/>
        </w:rPr>
        <w:t xml:space="preserve">(</w:t>
      </w:r>
      <w:r>
        <w:rPr>
          <w:sz w:val="20"/>
          <w:szCs w:val="20"/>
          <w:u w:val="single"/>
        </w:rPr>
        <w:t xml:space="preserve">CodeP#</w:t>
      </w:r>
      <w:r>
        <w:rPr>
          <w:sz w:val="20"/>
          <w:szCs w:val="20"/>
        </w:rPr>
        <w:t xml:space="preserve">, </w:t>
      </w:r>
      <w:r>
        <w:rPr>
          <w:sz w:val="20"/>
          <w:szCs w:val="20"/>
          <w:u w:val="single"/>
        </w:rPr>
        <w:t xml:space="preserve">CodeE#</w:t>
      </w:r>
      <w:r>
        <w:rPr>
          <w:sz w:val="20"/>
          <w:szCs w:val="20"/>
        </w:rPr>
        <w:t xml:space="preserve">, </w:t>
      </w:r>
      <w:r>
        <w:rPr>
          <w:sz w:val="20"/>
          <w:szCs w:val="20"/>
          <w:u w:val="single"/>
        </w:rPr>
        <w:t xml:space="preserve">DateLPrev</w:t>
      </w:r>
      <w:r>
        <w:rPr>
          <w:sz w:val="20"/>
          <w:szCs w:val="20"/>
        </w:rPr>
        <w:t xml:space="preserve">, </w:t>
      </w:r>
      <w:r>
        <w:rPr>
          <w:sz w:val="20"/>
          <w:szCs w:val="20"/>
        </w:rPr>
        <w:t xml:space="preserve">Nb_Ex_Prev</w:t>
      </w:r>
      <w:r>
        <w:rPr>
          <w:sz w:val="20"/>
          <w:szCs w:val="20"/>
        </w:rPr>
        <w:t xml:space="preserve">, </w:t>
      </w:r>
      <w:r>
        <w:rPr>
          <w:sz w:val="20"/>
          <w:szCs w:val="20"/>
        </w:rPr>
        <w:t xml:space="preserve">DateResa</w:t>
      </w:r>
      <w:r>
        <w:rPr>
          <w:sz w:val="20"/>
          <w:szCs w:val="20"/>
        </w:rPr>
        <w:t xml:space="preserve">, </w:t>
      </w:r>
      <w:r>
        <w:rPr>
          <w:sz w:val="20"/>
          <w:szCs w:val="20"/>
        </w:rPr>
        <w:t xml:space="preserve">Duree_Prev</w:t>
      </w:r>
      <w:r>
        <w:rPr>
          <w:sz w:val="20"/>
          <w:szCs w:val="20"/>
        </w:rPr>
        <w:t xml:space="preserve">)</w:t>
      </w:r>
      <w:r>
        <w:rPr>
          <w:i/>
          <w:iCs/>
          <w:color w:val="808080"/>
          <w:sz w:val="16"/>
          <w:szCs w:val="16"/>
        </w:rPr>
        <w:t xml:space="preserve">   [V1]</w:t>
      </w:r>
    </w:p>
    <w:p>
      <w:pPr>
        <w:pStyle w:val="ListParagraph"/>
        <w:numPr>
          <w:ilvl w:val="0"/>
          <w:numId w:val="2"/>
        </w:numPr>
        <w:spacing w:after="40"/>
      </w:pPr>
      <w:r>
        <w:rPr>
          <w:b/>
          <w:bCs/>
          <w:color w:val="1F4E79"/>
          <w:sz w:val="20"/>
          <w:szCs w:val="20"/>
        </w:rPr>
        <w:t xml:space="preserve">LOUER</w:t>
      </w:r>
      <w:r>
        <w:rPr>
          <w:sz w:val="20"/>
          <w:szCs w:val="20"/>
        </w:rPr>
        <w:t xml:space="preserve">(</w:t>
      </w:r>
      <w:r>
        <w:rPr>
          <w:sz w:val="20"/>
          <w:szCs w:val="20"/>
          <w:u w:val="single"/>
        </w:rPr>
        <w:t xml:space="preserve">CodeEX#</w:t>
      </w:r>
      <w:r>
        <w:rPr>
          <w:sz w:val="20"/>
          <w:szCs w:val="20"/>
        </w:rPr>
        <w:t xml:space="preserve">, </w:t>
      </w:r>
      <w:r>
        <w:rPr>
          <w:sz w:val="20"/>
          <w:szCs w:val="20"/>
          <w:u w:val="single"/>
        </w:rPr>
        <w:t xml:space="preserve">CodeE#</w:t>
      </w:r>
      <w:r>
        <w:rPr>
          <w:sz w:val="20"/>
          <w:szCs w:val="20"/>
        </w:rPr>
        <w:t xml:space="preserve">, </w:t>
      </w:r>
      <w:r>
        <w:rPr>
          <w:sz w:val="20"/>
          <w:szCs w:val="20"/>
          <w:u w:val="single"/>
        </w:rPr>
        <w:t xml:space="preserve">DateL</w:t>
      </w:r>
      <w:r>
        <w:rPr>
          <w:sz w:val="20"/>
          <w:szCs w:val="20"/>
        </w:rPr>
        <w:t xml:space="preserve">, </w:t>
      </w:r>
      <w:r>
        <w:rPr>
          <w:sz w:val="20"/>
          <w:szCs w:val="20"/>
        </w:rPr>
        <w:t xml:space="preserve">Duree_Loc</w:t>
      </w:r>
      <w:r>
        <w:rPr>
          <w:sz w:val="20"/>
          <w:szCs w:val="20"/>
        </w:rPr>
        <w:t xml:space="preserve">)</w:t>
      </w:r>
      <w:r>
        <w:rPr>
          <w:i/>
          <w:iCs/>
          <w:color w:val="808080"/>
          <w:sz w:val="16"/>
          <w:szCs w:val="16"/>
        </w:rPr>
        <w:t xml:space="preserve">   [V1]</w:t>
      </w:r>
    </w:p>
    <w:p>
      <w:pPr>
        <w:pStyle w:val="ListParagraph"/>
        <w:numPr>
          <w:ilvl w:val="0"/>
          <w:numId w:val="2"/>
        </w:numPr>
        <w:spacing w:after="40"/>
      </w:pPr>
      <w:r>
        <w:rPr>
          <w:b/>
          <w:bCs/>
          <w:color w:val="2E7D32"/>
          <w:sz w:val="20"/>
          <w:szCs w:val="20"/>
        </w:rPr>
        <w:t xml:space="preserve">PARTENAIRE</w:t>
      </w:r>
      <w:r>
        <w:rPr>
          <w:sz w:val="20"/>
          <w:szCs w:val="20"/>
        </w:rPr>
        <w:t xml:space="preserve">(</w:t>
      </w:r>
      <w:r>
        <w:rPr>
          <w:sz w:val="20"/>
          <w:szCs w:val="20"/>
          <w:u w:val="single"/>
        </w:rPr>
        <w:t xml:space="preserve">CodePartenaire</w:t>
      </w:r>
      <w:r>
        <w:rPr>
          <w:sz w:val="20"/>
          <w:szCs w:val="20"/>
        </w:rPr>
        <w:t xml:space="preserve">, </w:t>
      </w:r>
      <w:r>
        <w:rPr>
          <w:sz w:val="20"/>
          <w:szCs w:val="20"/>
        </w:rPr>
        <w:t xml:space="preserve">NomPartenaire</w:t>
      </w:r>
      <w:r>
        <w:rPr>
          <w:sz w:val="20"/>
          <w:szCs w:val="20"/>
        </w:rPr>
        <w:t xml:space="preserve">, </w:t>
      </w:r>
      <w:r>
        <w:rPr>
          <w:sz w:val="20"/>
          <w:szCs w:val="20"/>
        </w:rPr>
        <w:t xml:space="preserve">TauxRemise</w:t>
      </w:r>
      <w:r>
        <w:rPr>
          <w:sz w:val="20"/>
          <w:szCs w:val="20"/>
        </w:rPr>
        <w:t xml:space="preserve">)</w:t>
      </w:r>
      <w:r>
        <w:rPr>
          <w:i/>
          <w:iCs/>
          <w:color w:val="808080"/>
          <w:sz w:val="16"/>
          <w:szCs w:val="16"/>
        </w:rPr>
        <w:t xml:space="preserve">   [nouvelle]</w:t>
      </w:r>
    </w:p>
    <w:p>
      <w:pPr>
        <w:pStyle w:val="ListParagraph"/>
        <w:numPr>
          <w:ilvl w:val="0"/>
          <w:numId w:val="2"/>
        </w:numPr>
        <w:spacing w:after="40"/>
      </w:pPr>
      <w:r>
        <w:rPr>
          <w:b/>
          <w:bCs/>
          <w:color w:val="2E7D32"/>
          <w:sz w:val="20"/>
          <w:szCs w:val="20"/>
        </w:rPr>
        <w:t xml:space="preserve">ACHAT_PARTENAIRE</w:t>
      </w:r>
      <w:r>
        <w:rPr>
          <w:sz w:val="20"/>
          <w:szCs w:val="20"/>
        </w:rPr>
        <w:t xml:space="preserve">(</w:t>
      </w:r>
      <w:r>
        <w:rPr>
          <w:sz w:val="20"/>
          <w:szCs w:val="20"/>
          <w:u w:val="single"/>
        </w:rPr>
        <w:t xml:space="preserve">CodeE#</w:t>
      </w:r>
      <w:r>
        <w:rPr>
          <w:sz w:val="20"/>
          <w:szCs w:val="20"/>
        </w:rPr>
        <w:t xml:space="preserve">, </w:t>
      </w:r>
      <w:r>
        <w:rPr>
          <w:sz w:val="20"/>
          <w:szCs w:val="20"/>
          <w:u w:val="single"/>
        </w:rPr>
        <w:t xml:space="preserve">CodePartenaire#</w:t>
      </w:r>
      <w:r>
        <w:rPr>
          <w:sz w:val="20"/>
          <w:szCs w:val="20"/>
        </w:rPr>
        <w:t xml:space="preserve">, </w:t>
      </w:r>
      <w:r>
        <w:rPr>
          <w:sz w:val="20"/>
          <w:szCs w:val="20"/>
          <w:u w:val="single"/>
        </w:rPr>
        <w:t xml:space="preserve">DateAP</w:t>
      </w:r>
      <w:r>
        <w:rPr>
          <w:sz w:val="20"/>
          <w:szCs w:val="20"/>
        </w:rPr>
        <w:t xml:space="preserve">, </w:t>
      </w:r>
      <w:r>
        <w:rPr>
          <w:sz w:val="20"/>
          <w:szCs w:val="20"/>
        </w:rPr>
        <w:t xml:space="preserve">MontantAchat</w:t>
      </w:r>
      <w:r>
        <w:rPr>
          <w:sz w:val="20"/>
          <w:szCs w:val="20"/>
        </w:rPr>
        <w:t xml:space="preserve">)</w:t>
      </w:r>
      <w:r>
        <w:rPr>
          <w:i/>
          <w:iCs/>
          <w:color w:val="808080"/>
          <w:sz w:val="16"/>
          <w:szCs w:val="16"/>
        </w:rPr>
        <w:t xml:space="preserve">   [nouvelle]</w:t>
      </w:r>
    </w:p>
    <w:p>
      <w:pPr>
        <w:spacing w:after="40"/>
      </w:pPr>
      <w:r>
        <w:rPr>
          <w:rFonts w:ascii="Calibri" w:cs="Calibri" w:eastAsia="Calibri" w:hAnsi="Calibri"/>
          <w:b/>
          <w:bCs/>
          <w:sz w:val="20"/>
          <w:szCs w:val="20"/>
        </w:rPr>
        <w:t xml:space="preserve">Règles de passage appliquées :</w:t>
      </w:r>
    </w:p>
    <w:p>
      <w:pPr>
        <w:pStyle w:val="ListParagraph"/>
        <w:numPr>
          <w:ilvl w:val="0"/>
          <w:numId w:val="2"/>
        </w:numPr>
        <w:spacing w:after="60"/>
      </w:pPr>
      <w:r>
        <w:rPr>
          <w:sz w:val="20"/>
          <w:szCs w:val="20"/>
        </w:rPr>
        <w:t xml:space="preserve">Chaque entité devient une table ; chaque association 1,1 devient une clé étrangère du côté 1,1 (ex. CodeGEN# dans PRODUIT).</w:t>
      </w:r>
    </w:p>
    <w:p>
      <w:pPr>
        <w:pStyle w:val="ListParagraph"/>
        <w:numPr>
          <w:ilvl w:val="0"/>
          <w:numId w:val="2"/>
        </w:numPr>
        <w:spacing w:after="60"/>
      </w:pPr>
      <w:r>
        <w:rPr>
          <w:sz w:val="20"/>
          <w:szCs w:val="20"/>
        </w:rPr>
        <w:t xml:space="preserve">Les associations réflexives (Décomposer, Hiérarchiser, Englober) deviennent une clé étrangère vers la même table (CodeDO_Sup#, CodeCJ_Sup#, CodeZG_Sup#).</w:t>
      </w:r>
    </w:p>
    <w:p>
      <w:pPr>
        <w:pStyle w:val="ListParagraph"/>
        <w:numPr>
          <w:ilvl w:val="0"/>
          <w:numId w:val="2"/>
        </w:numPr>
        <w:spacing w:after="60"/>
      </w:pPr>
      <w:r>
        <w:rPr>
          <w:sz w:val="20"/>
          <w:szCs w:val="20"/>
        </w:rPr>
        <w:t xml:space="preserve">Les associations n-aires porteuses de données deviennent des tables (TARIF, REDUCTION, EXERCER, ACHAT, RESERVER, LOUER). Comme dans la V1, les entités JOUR et ANNEE ne donnent pas de table : la date et l'année sont des attributs.</w:t>
      </w:r>
    </w:p>
    <w:p>
      <w:pPr>
        <w:pStyle w:val="ListParagraph"/>
        <w:numPr>
          <w:ilvl w:val="0"/>
          <w:numId w:val="2"/>
        </w:numPr>
        <w:spacing w:after="60"/>
      </w:pPr>
      <w:r>
        <w:rPr>
          <w:sz w:val="20"/>
          <w:szCs w:val="20"/>
        </w:rPr>
        <w:t xml:space="preserve">EXERCER : la CIF (SALARIE_RH + JOUR → APPELLATION) traduit la règle « un salarié n'exerce qu'un métier à une date donnée » ; la clé est donc (MatriculeSAL, NumEtab, DateDebutMetier) et CodeAPP devient une simple clé étrangère. La cardinalité 0,n côté SALARIE_RH permet aux salariés allemands de n'avoir aucun métier.</w:t>
      </w:r>
    </w:p>
    <w:p>
      <w:pPr>
        <w:pStyle w:val="ListParagraph"/>
        <w:numPr>
          <w:ilvl w:val="0"/>
          <w:numId w:val="2"/>
        </w:numPr>
        <w:spacing w:after="60"/>
      </w:pPr>
      <w:r>
        <w:rPr>
          <w:sz w:val="20"/>
          <w:szCs w:val="20"/>
        </w:rPr>
        <w:t xml:space="preserve">ETRE_AFFECTE : même construction qu'EXERCER. La CIF (EMPLOYE + JOUR → SERVICE) traduit « un employé n'est que dans un seul service à une date donnée » ; la clé est (CodeE, DateDebutAffect) et CodeSE devient une clé étrangère. L'association Affecter de la V1 (EMPLOYE 1,1 → SERVICE) est conservée : elle représente le service actuel.</w:t>
      </w:r>
    </w:p>
    <w:p>
      <w:pPr>
        <w:pStyle w:val="ListParagraph"/>
        <w:numPr>
          <w:ilvl w:val="0"/>
          <w:numId w:val="2"/>
        </w:numPr>
        <w:spacing w:after="60"/>
      </w:pPr>
      <w:r>
        <w:rPr>
          <w:sz w:val="20"/>
          <w:szCs w:val="20"/>
        </w:rPr>
        <w:t xml:space="preserve">Caractériser (SOCIETE 0,1 → DOMAINE) et AVOIR (SOCIETE 0,1 → TYPE_SOCIETE) donnent des clés étrangères facultatives ; Classer (SOCIETE 1,1 → CATEGORIE_JURIDIQUE) reste obligatoire grâce à la branche allemande.</w:t>
      </w:r>
    </w:p>
    <w:p>
      <w:pPr>
        <w:pStyle w:val="ListParagraph"/>
        <w:numPr>
          <w:ilvl w:val="0"/>
          <w:numId w:val="2"/>
        </w:numPr>
        <w:spacing w:after="60"/>
      </w:pPr>
      <w:r>
        <w:rPr>
          <w:sz w:val="20"/>
          <w:szCs w:val="20"/>
        </w:rPr>
        <w:t xml:space="preserve">Offres partenaires : PARTENAIRE est une entité séparée de PRODUIT ; l'association Acheter_Partenaire (EMPLOYE, PARTENAIRE, JOUR), porteuse du montant, devient la table ACHAT_PARTENAIRE. Faute d'information sur les articles du partenaire, aucun catalogue n'est modélisé.</w:t>
      </w:r>
    </w:p>
    <w:p>
      <w:pPr>
        <w:pStyle w:val="ListParagraph"/>
        <w:numPr>
          <w:ilvl w:val="0"/>
          <w:numId w:val="2"/>
        </w:numPr>
        <w:spacing w:after="60"/>
      </w:pPr>
      <w:r>
        <w:rPr>
          <w:sz w:val="20"/>
          <w:szCs w:val="20"/>
        </w:rPr>
        <w:t xml:space="preserve">Correspondre (SALARIE_RH 1,1 ↔ EMPLOYE 0,1) devient la clé étrangère CodeE, NOT NULL et UNIQUE, dans SALARIE_RH : toute fiche RH chargée correspond à un seul employé MobiPass, alors qu'un employé peut ne pas avoir (encore) de fiche RH. Les fiches non encore rapprochées restent dans la DSA et ne sont chargées dans l'ED qu'après validation.</w:t>
      </w:r>
    </w:p>
    <w:p>
      <w:pPr>
        <w:pStyle w:val="ListParagraph"/>
        <w:numPr>
          <w:ilvl w:val="0"/>
          <w:numId w:val="2"/>
        </w:numPr>
        <w:spacing w:after="60"/>
      </w:pPr>
      <w:r>
        <w:rPr>
          <w:sz w:val="20"/>
          <w:szCs w:val="20"/>
        </w:rPr>
        <w:t xml:space="preserve">Choix de conserver deux entités plutôt que de les fusionner : EMPLOYE (codification MobiPass, France et Allemagne) reste la table de la V1, inchangée, ce qui garantit la compatibilité avec l'existant ; SALARIE_RH porte la vision RH des sociétés des deux pays (portail en France, fichier Excel en Allemagne). Les deux points de vue restent séparés, la source RH est tracée et la correspondance devient un objet explicite et contrôlé du modèle. Une fusion aurait obligé à ajouter six colonnes facultatives à la table de la V1, vides pour tout employé sans fiche RH. Le nom et le prénom ne sont stockés que dans EMPLOYE pour éviter toute redondance : ceux des données RH ne servent qu'au rapprochement, réalisé dans la DSA.</w:t>
      </w:r>
    </w:p>
    <w:p>
      <w:pPr>
        <w:pStyle w:val="ListParagraph"/>
        <w:numPr>
          <w:ilvl w:val="0"/>
          <w:numId w:val="2"/>
        </w:numPr>
        <w:spacing w:after="60"/>
      </w:pPr>
      <w:r>
        <w:rPr>
          <w:sz w:val="20"/>
          <w:szCs w:val="20"/>
        </w:rPr>
        <w:t xml:space="preserve">PRODUIT perd Prix_loc_Jour et Prix_vente, historisés dans TARIF par pays et par période. Les colonnes %Reduc_Loc et %Reduc_Achat sont renommées PctReduc_Loc et PctReduc_Achat (le caractère % est interdit dans les noms Oracle).</w:t>
      </w:r>
    </w:p>
    <w:p>
      <w:pPr>
        <w:pStyle w:val="Heading2"/>
      </w:pPr>
      <w:r>
        <w:t xml:space="preserve">Dictionnaire des données de l'ED V2</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300"/>
        <w:gridCol w:w="1900"/>
        <w:gridCol w:w="4400"/>
        <w:gridCol w:w="2100"/>
        <w:gridCol w:w="3700"/>
      </w:tblGrid>
      <w:tr>
        <w:trPr>
          <w:tblHeader/>
        </w:trPr>
        <w:tc>
          <w:tcPr>
            <w:tcW w:type="dxa" w:w="2300"/>
            <w:tcBorders>
              <w:top w:val="single" w:color="8EA9C1" w:sz="4"/>
              <w:left w:val="single" w:color="8EA9C1" w:sz="4"/>
              <w:bottom w:val="single" w:color="8EA9C1" w:sz="4"/>
              <w:right w:val="single" w:color="8EA9C1" w:sz="4"/>
            </w:tcBorders>
            <w:shd w:fill="1F4E79" w:color="auto" w:val="clear"/>
            <w:tcMar>
              <w:top w:type="dxa" w:w="60"/>
              <w:left w:type="dxa" w:w="90"/>
              <w:bottom w:type="dxa" w:w="60"/>
              <w:right w:type="dxa" w:w="90"/>
            </w:tcMar>
            <w:vAlign w:val="center"/>
          </w:tcPr>
          <w:p>
            <w:pPr>
              <w:spacing w:after="0"/>
              <w:jc w:val="center"/>
            </w:pPr>
            <w:r>
              <w:rPr>
                <w:rFonts w:ascii="Calibri" w:cs="Calibri" w:eastAsia="Calibri" w:hAnsi="Calibri"/>
                <w:b/>
                <w:bCs/>
                <w:color w:val="FFFFFF"/>
                <w:sz w:val="18"/>
                <w:szCs w:val="18"/>
              </w:rPr>
              <w:t xml:space="preserve">Nom du champ</w:t>
            </w:r>
          </w:p>
        </w:tc>
        <w:tc>
          <w:tcPr>
            <w:tcW w:type="dxa" w:w="1900"/>
            <w:tcBorders>
              <w:top w:val="single" w:color="8EA9C1" w:sz="4"/>
              <w:left w:val="single" w:color="8EA9C1" w:sz="4"/>
              <w:bottom w:val="single" w:color="8EA9C1" w:sz="4"/>
              <w:right w:val="single" w:color="8EA9C1" w:sz="4"/>
            </w:tcBorders>
            <w:shd w:fill="1F4E79" w:color="auto" w:val="clear"/>
            <w:tcMar>
              <w:top w:type="dxa" w:w="60"/>
              <w:left w:type="dxa" w:w="90"/>
              <w:bottom w:type="dxa" w:w="60"/>
              <w:right w:type="dxa" w:w="90"/>
            </w:tcMar>
            <w:vAlign w:val="center"/>
          </w:tcPr>
          <w:p>
            <w:pPr>
              <w:spacing w:after="0"/>
              <w:jc w:val="center"/>
            </w:pPr>
            <w:r>
              <w:rPr>
                <w:rFonts w:ascii="Calibri" w:cs="Calibri" w:eastAsia="Calibri" w:hAnsi="Calibri"/>
                <w:b/>
                <w:bCs/>
                <w:color w:val="FFFFFF"/>
                <w:sz w:val="18"/>
                <w:szCs w:val="18"/>
              </w:rPr>
              <w:t xml:space="preserve">Table</w:t>
            </w:r>
          </w:p>
        </w:tc>
        <w:tc>
          <w:tcPr>
            <w:tcW w:type="dxa" w:w="4400"/>
            <w:tcBorders>
              <w:top w:val="single" w:color="8EA9C1" w:sz="4"/>
              <w:left w:val="single" w:color="8EA9C1" w:sz="4"/>
              <w:bottom w:val="single" w:color="8EA9C1" w:sz="4"/>
              <w:right w:val="single" w:color="8EA9C1" w:sz="4"/>
            </w:tcBorders>
            <w:shd w:fill="1F4E79" w:color="auto" w:val="clear"/>
            <w:tcMar>
              <w:top w:type="dxa" w:w="60"/>
              <w:left w:type="dxa" w:w="90"/>
              <w:bottom w:type="dxa" w:w="60"/>
              <w:right w:type="dxa" w:w="90"/>
            </w:tcMar>
            <w:vAlign w:val="center"/>
          </w:tcPr>
          <w:p>
            <w:pPr>
              <w:spacing w:after="0"/>
              <w:jc w:val="center"/>
            </w:pPr>
            <w:r>
              <w:rPr>
                <w:rFonts w:ascii="Calibri" w:cs="Calibri" w:eastAsia="Calibri" w:hAnsi="Calibri"/>
                <w:b/>
                <w:bCs/>
                <w:color w:val="FFFFFF"/>
                <w:sz w:val="18"/>
                <w:szCs w:val="18"/>
              </w:rPr>
              <w:t xml:space="preserve">Description</w:t>
            </w:r>
          </w:p>
        </w:tc>
        <w:tc>
          <w:tcPr>
            <w:tcW w:type="dxa" w:w="2100"/>
            <w:tcBorders>
              <w:top w:val="single" w:color="8EA9C1" w:sz="4"/>
              <w:left w:val="single" w:color="8EA9C1" w:sz="4"/>
              <w:bottom w:val="single" w:color="8EA9C1" w:sz="4"/>
              <w:right w:val="single" w:color="8EA9C1" w:sz="4"/>
            </w:tcBorders>
            <w:shd w:fill="1F4E79" w:color="auto" w:val="clear"/>
            <w:tcMar>
              <w:top w:type="dxa" w:w="60"/>
              <w:left w:type="dxa" w:w="90"/>
              <w:bottom w:type="dxa" w:w="60"/>
              <w:right w:type="dxa" w:w="90"/>
            </w:tcMar>
            <w:vAlign w:val="center"/>
          </w:tcPr>
          <w:p>
            <w:pPr>
              <w:spacing w:after="0"/>
              <w:jc w:val="center"/>
            </w:pPr>
            <w:r>
              <w:rPr>
                <w:rFonts w:ascii="Calibri" w:cs="Calibri" w:eastAsia="Calibri" w:hAnsi="Calibri"/>
                <w:b/>
                <w:bCs/>
                <w:color w:val="FFFFFF"/>
                <w:sz w:val="18"/>
                <w:szCs w:val="18"/>
              </w:rPr>
              <w:t xml:space="preserve">Type Oracle</w:t>
            </w:r>
          </w:p>
        </w:tc>
        <w:tc>
          <w:tcPr>
            <w:tcW w:type="dxa" w:w="3700"/>
            <w:tcBorders>
              <w:top w:val="single" w:color="8EA9C1" w:sz="4"/>
              <w:left w:val="single" w:color="8EA9C1" w:sz="4"/>
              <w:bottom w:val="single" w:color="8EA9C1" w:sz="4"/>
              <w:right w:val="single" w:color="8EA9C1" w:sz="4"/>
            </w:tcBorders>
            <w:shd w:fill="1F4E79" w:color="auto" w:val="clear"/>
            <w:tcMar>
              <w:top w:type="dxa" w:w="60"/>
              <w:left w:type="dxa" w:w="90"/>
              <w:bottom w:type="dxa" w:w="60"/>
              <w:right w:type="dxa" w:w="90"/>
            </w:tcMar>
            <w:vAlign w:val="center"/>
          </w:tcPr>
          <w:p>
            <w:pPr>
              <w:spacing w:after="0"/>
              <w:jc w:val="center"/>
            </w:pPr>
            <w:r>
              <w:rPr>
                <w:rFonts w:ascii="Calibri" w:cs="Calibri" w:eastAsia="Calibri" w:hAnsi="Calibri"/>
                <w:b/>
                <w:bCs/>
                <w:color w:val="FFFFFF"/>
                <w:sz w:val="18"/>
                <w:szCs w:val="18"/>
              </w:rPr>
              <w:t xml:space="preserve">Contrainte</w:t>
            </w:r>
          </w:p>
        </w:tc>
      </w:tr>
      <w:tr>
        <w:trPr>
          <w:cantSplit/>
        </w:trPr>
        <w:tc>
          <w:tcPr>
            <w:tcW w:type="dxa" w:w="23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bCs/>
                <w:sz w:val="18"/>
                <w:szCs w:val="18"/>
              </w:rPr>
              <w:t xml:space="preserve">CodePays</w:t>
            </w:r>
          </w:p>
        </w:tc>
        <w:tc>
          <w:tcPr>
            <w:tcW w:type="dxa" w:w="19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PAYS</w:t>
            </w:r>
          </w:p>
        </w:tc>
        <w:tc>
          <w:tcPr>
            <w:tcW w:type="dxa" w:w="44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Code ISO du pays</w:t>
            </w:r>
          </w:p>
        </w:tc>
        <w:tc>
          <w:tcPr>
            <w:tcW w:type="dxa" w:w="21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CHAR(2)</w:t>
            </w:r>
          </w:p>
        </w:tc>
        <w:tc>
          <w:tcPr>
            <w:tcW w:type="dxa" w:w="37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 {FR, DE}</w:t>
            </w:r>
          </w:p>
        </w:tc>
      </w:tr>
      <w:tr>
        <w:trPr>
          <w:cantSplit/>
        </w:trPr>
        <w:tc>
          <w:tcPr>
            <w:tcW w:type="dxa" w:w="23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bCs/>
                <w:sz w:val="18"/>
                <w:szCs w:val="18"/>
              </w:rPr>
              <w:t xml:space="preserve">NomPays</w:t>
            </w:r>
          </w:p>
        </w:tc>
        <w:tc>
          <w:tcPr>
            <w:tcW w:type="dxa" w:w="19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PAYS</w:t>
            </w:r>
          </w:p>
        </w:tc>
        <w:tc>
          <w:tcPr>
            <w:tcW w:type="dxa" w:w="44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Nom du pays</w:t>
            </w:r>
          </w:p>
        </w:tc>
        <w:tc>
          <w:tcPr>
            <w:tcW w:type="dxa" w:w="21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VARCHAR2(50)</w:t>
            </w:r>
          </w:p>
        </w:tc>
        <w:tc>
          <w:tcPr>
            <w:tcW w:type="dxa" w:w="37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NOT NULL</w:t>
            </w:r>
          </w:p>
        </w:tc>
      </w:tr>
      <w:tr>
        <w:trPr>
          <w:cantSplit/>
        </w:trPr>
        <w:tc>
          <w:tcPr>
            <w:tcW w:type="dxa" w:w="23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bCs/>
                <w:sz w:val="18"/>
                <w:szCs w:val="18"/>
              </w:rPr>
              <w:t xml:space="preserve">TauxTVA</w:t>
            </w:r>
          </w:p>
        </w:tc>
        <w:tc>
          <w:tcPr>
            <w:tcW w:type="dxa" w:w="19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PAYS</w:t>
            </w:r>
          </w:p>
        </w:tc>
        <w:tc>
          <w:tcPr>
            <w:tcW w:type="dxa" w:w="44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Taux normal de TVA du pays</w:t>
            </w:r>
          </w:p>
        </w:tc>
        <w:tc>
          <w:tcPr>
            <w:tcW w:type="dxa" w:w="21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NUMBER(4,3)</w:t>
            </w:r>
          </w:p>
        </w:tc>
        <w:tc>
          <w:tcPr>
            <w:tcW w:type="dxa" w:w="37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FR : 0,20 ; DE : 0,19</w:t>
            </w:r>
          </w:p>
        </w:tc>
      </w:tr>
      <w:tr>
        <w:trPr>
          <w:cantSplit/>
        </w:trPr>
        <w:tc>
          <w:tcPr>
            <w:tcW w:type="dxa" w:w="23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bCs/>
                <w:sz w:val="18"/>
                <w:szCs w:val="18"/>
              </w:rPr>
              <w:t xml:space="preserve">CodeZG</w:t>
            </w:r>
          </w:p>
        </w:tc>
        <w:tc>
          <w:tcPr>
            <w:tcW w:type="dxa" w:w="19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ZONE_GEO</w:t>
            </w:r>
          </w:p>
        </w:tc>
        <w:tc>
          <w:tcPr>
            <w:tcW w:type="dxa" w:w="44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Code unique d'une zone géographique : code INSEE en France ; en Allemagne, DE + préfixe du code AGS Destatis (DE09, DE091, DE09162, DE09162000)</w:t>
            </w:r>
          </w:p>
        </w:tc>
        <w:tc>
          <w:tcPr>
            <w:tcW w:type="dxa" w:w="21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VARCHAR2(10)</w:t>
            </w:r>
          </w:p>
        </w:tc>
        <w:tc>
          <w:tcPr>
            <w:tcW w:type="dxa" w:w="37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
            </w:r>
          </w:p>
        </w:tc>
      </w:tr>
      <w:tr>
        <w:trPr>
          <w:cantSplit/>
        </w:trPr>
        <w:tc>
          <w:tcPr>
            <w:tcW w:type="dxa" w:w="23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bCs/>
                <w:sz w:val="18"/>
                <w:szCs w:val="18"/>
              </w:rPr>
              <w:t xml:space="preserve">NomZG</w:t>
            </w:r>
          </w:p>
        </w:tc>
        <w:tc>
          <w:tcPr>
            <w:tcW w:type="dxa" w:w="19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ZONE_GEO</w:t>
            </w:r>
          </w:p>
        </w:tc>
        <w:tc>
          <w:tcPr>
            <w:tcW w:type="dxa" w:w="44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Nom de la zone (commune, département, région, Gemeinde, Kreis, district, Land)</w:t>
            </w:r>
          </w:p>
        </w:tc>
        <w:tc>
          <w:tcPr>
            <w:tcW w:type="dxa" w:w="21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VARCHAR2(100)</w:t>
            </w:r>
          </w:p>
        </w:tc>
        <w:tc>
          <w:tcPr>
            <w:tcW w:type="dxa" w:w="37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NOT NULL</w:t>
            </w:r>
          </w:p>
        </w:tc>
      </w:tr>
      <w:tr>
        <w:trPr>
          <w:cantSplit/>
        </w:trPr>
        <w:tc>
          <w:tcPr>
            <w:tcW w:type="dxa" w:w="23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bCs/>
                <w:sz w:val="18"/>
                <w:szCs w:val="18"/>
              </w:rPr>
              <w:t xml:space="preserve">NiveauZG</w:t>
            </w:r>
          </w:p>
        </w:tc>
        <w:tc>
          <w:tcPr>
            <w:tcW w:type="dxa" w:w="19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ZONE_GEO</w:t>
            </w:r>
          </w:p>
        </w:tc>
        <w:tc>
          <w:tcPr>
            <w:tcW w:type="dxa" w:w="44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Niveau de la zone</w:t>
            </w:r>
          </w:p>
        </w:tc>
        <w:tc>
          <w:tcPr>
            <w:tcW w:type="dxa" w:w="21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VARCHAR2(20)</w:t>
            </w:r>
          </w:p>
        </w:tc>
        <w:tc>
          <w:tcPr>
            <w:tcW w:type="dxa" w:w="37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 {COMMUNE, DEPARTEMENT, REGION, GEMEINDE, KREIS, DISTRICT, LAND}</w:t>
            </w:r>
          </w:p>
        </w:tc>
      </w:tr>
      <w:tr>
        <w:trPr>
          <w:cantSplit/>
        </w:trPr>
        <w:tc>
          <w:tcPr>
            <w:tcW w:type="dxa" w:w="23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bCs/>
                <w:sz w:val="18"/>
                <w:szCs w:val="18"/>
              </w:rPr>
              <w:t xml:space="preserve">CodeZG_Sup</w:t>
            </w:r>
          </w:p>
        </w:tc>
        <w:tc>
          <w:tcPr>
            <w:tcW w:type="dxa" w:w="19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ZONE_GEO</w:t>
            </w:r>
          </w:p>
        </w:tc>
        <w:tc>
          <w:tcPr>
            <w:tcW w:type="dxa" w:w="44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Zone englobante (vide pour le plus haut niveau)</w:t>
            </w:r>
          </w:p>
        </w:tc>
        <w:tc>
          <w:tcPr>
            <w:tcW w:type="dxa" w:w="21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VARCHAR2(10)</w:t>
            </w:r>
          </w:p>
        </w:tc>
        <w:tc>
          <w:tcPr>
            <w:tcW w:type="dxa" w:w="37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FK vers ZONE_GEO</w:t>
            </w:r>
          </w:p>
        </w:tc>
      </w:tr>
      <w:tr>
        <w:trPr>
          <w:cantSplit/>
        </w:trPr>
        <w:tc>
          <w:tcPr>
            <w:tcW w:type="dxa" w:w="23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bCs/>
                <w:sz w:val="18"/>
                <w:szCs w:val="18"/>
              </w:rPr>
              <w:t xml:space="preserve">CodeDO / NomDO / CodeDO_Sup</w:t>
            </w:r>
          </w:p>
        </w:tc>
        <w:tc>
          <w:tcPr>
            <w:tcW w:type="dxa" w:w="19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DOMAINE</w:t>
            </w:r>
          </w:p>
        </w:tc>
        <w:tc>
          <w:tcPr>
            <w:tcW w:type="dxa" w:w="44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Domaine d'activité NAF rév. 2 sur 4 niveaux (division, groupe, classe, sous-classe) et son domaine supérieur (RG17)</w:t>
            </w:r>
          </w:p>
        </w:tc>
        <w:tc>
          <w:tcPr>
            <w:tcW w:type="dxa" w:w="21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VARCHAR2(7) / VARCHAR2(150)</w:t>
            </w:r>
          </w:p>
        </w:tc>
        <w:tc>
          <w:tcPr>
            <w:tcW w:type="dxa" w:w="37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Masque 99, 99.9, 99.99 ou 99.99A ; seule la division n'a pas de domaine supérieur</w:t>
            </w:r>
          </w:p>
        </w:tc>
      </w:tr>
      <w:tr>
        <w:trPr>
          <w:cantSplit/>
        </w:trPr>
        <w:tc>
          <w:tcPr>
            <w:tcW w:type="dxa" w:w="23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bCs/>
                <w:sz w:val="18"/>
                <w:szCs w:val="18"/>
              </w:rPr>
              <w:t xml:space="preserve">CodeCJ / LibelleCJ</w:t>
            </w:r>
          </w:p>
        </w:tc>
        <w:tc>
          <w:tcPr>
            <w:tcW w:type="dxa" w:w="19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CATEGORIE_JURIDIQUE</w:t>
            </w:r>
          </w:p>
        </w:tc>
        <w:tc>
          <w:tcPr>
            <w:tcW w:type="dxa" w:w="44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Catégorie juridique : INSEE pour la France, branche D pour les formes allemandes (RG15)</w:t>
            </w:r>
          </w:p>
        </w:tc>
        <w:tc>
          <w:tcPr>
            <w:tcW w:type="dxa" w:w="21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VARCHAR2(4) / VARCHAR2(150)</w:t>
            </w:r>
          </w:p>
        </w:tc>
        <w:tc>
          <w:tcPr>
            <w:tcW w:type="dxa" w:w="37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Codes 9, 99, 9999 (INSEE) ou D, D9, D999 (DE)</w:t>
            </w:r>
          </w:p>
        </w:tc>
      </w:tr>
      <w:tr>
        <w:trPr>
          <w:cantSplit/>
        </w:trPr>
        <w:tc>
          <w:tcPr>
            <w:tcW w:type="dxa" w:w="23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bCs/>
                <w:sz w:val="18"/>
                <w:szCs w:val="18"/>
              </w:rPr>
              <w:t xml:space="preserve">NiveauCJ</w:t>
            </w:r>
          </w:p>
        </w:tc>
        <w:tc>
          <w:tcPr>
            <w:tcW w:type="dxa" w:w="19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CATEGORIE_JURIDIQUE</w:t>
            </w:r>
          </w:p>
        </w:tc>
        <w:tc>
          <w:tcPr>
            <w:tcW w:type="dxa" w:w="44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Niveau dans la nomenclature INSEE</w:t>
            </w:r>
          </w:p>
        </w:tc>
        <w:tc>
          <w:tcPr>
            <w:tcW w:type="dxa" w:w="21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NUMBER(1)</w:t>
            </w:r>
          </w:p>
        </w:tc>
        <w:tc>
          <w:tcPr>
            <w:tcW w:type="dxa" w:w="37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 {1, 2, 3}</w:t>
            </w:r>
          </w:p>
        </w:tc>
      </w:tr>
      <w:tr>
        <w:trPr>
          <w:cantSplit/>
        </w:trPr>
        <w:tc>
          <w:tcPr>
            <w:tcW w:type="dxa" w:w="23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bCs/>
                <w:sz w:val="18"/>
                <w:szCs w:val="18"/>
              </w:rPr>
              <w:t xml:space="preserve">CodeCJ_Sup</w:t>
            </w:r>
          </w:p>
        </w:tc>
        <w:tc>
          <w:tcPr>
            <w:tcW w:type="dxa" w:w="19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CATEGORIE_JURIDIQUE</w:t>
            </w:r>
          </w:p>
        </w:tc>
        <w:tc>
          <w:tcPr>
            <w:tcW w:type="dxa" w:w="44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Catégorie de niveau supérieur</w:t>
            </w:r>
          </w:p>
        </w:tc>
        <w:tc>
          <w:tcPr>
            <w:tcW w:type="dxa" w:w="21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VARCHAR2(4)</w:t>
            </w:r>
          </w:p>
        </w:tc>
        <w:tc>
          <w:tcPr>
            <w:tcW w:type="dxa" w:w="37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FK ; vide si NiveauCJ = 1</w:t>
            </w:r>
          </w:p>
        </w:tc>
      </w:tr>
      <w:tr>
        <w:trPr>
          <w:cantSplit/>
        </w:trPr>
        <w:tc>
          <w:tcPr>
            <w:tcW w:type="dxa" w:w="23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bCs/>
                <w:sz w:val="18"/>
                <w:szCs w:val="18"/>
              </w:rPr>
              <w:t xml:space="preserve">CodeSOC</w:t>
            </w:r>
          </w:p>
        </w:tc>
        <w:tc>
          <w:tcPr>
            <w:tcW w:type="dxa" w:w="19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SOCIETE</w:t>
            </w:r>
          </w:p>
        </w:tc>
        <w:tc>
          <w:tcPr>
            <w:tcW w:type="dxa" w:w="44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Code unique d'une société : SIREN pour la France (annexe 1 du sujet, les 9 premiers chiffres du SIRET), USt-IdNr pour l'Allemagne (RG16)</w:t>
            </w:r>
          </w:p>
        </w:tc>
        <w:tc>
          <w:tcPr>
            <w:tcW w:type="dxa" w:w="21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VARCHAR2(14)</w:t>
            </w:r>
          </w:p>
        </w:tc>
        <w:tc>
          <w:tcPr>
            <w:tcW w:type="dxa" w:w="37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9 chiffres ou DE + 9 chiffres</w:t>
            </w:r>
          </w:p>
        </w:tc>
      </w:tr>
      <w:tr>
        <w:trPr>
          <w:cantSplit/>
        </w:trPr>
        <w:tc>
          <w:tcPr>
            <w:tcW w:type="dxa" w:w="23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bCs/>
                <w:sz w:val="18"/>
                <w:szCs w:val="18"/>
              </w:rPr>
              <w:t xml:space="preserve">NomSOC</w:t>
            </w:r>
          </w:p>
        </w:tc>
        <w:tc>
          <w:tcPr>
            <w:tcW w:type="dxa" w:w="19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SOCIETE</w:t>
            </w:r>
          </w:p>
        </w:tc>
        <w:tc>
          <w:tcPr>
            <w:tcW w:type="dxa" w:w="44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Nom de la société</w:t>
            </w:r>
          </w:p>
        </w:tc>
        <w:tc>
          <w:tcPr>
            <w:tcW w:type="dxa" w:w="21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VARCHAR2(100)</w:t>
            </w:r>
          </w:p>
        </w:tc>
        <w:tc>
          <w:tcPr>
            <w:tcW w:type="dxa" w:w="37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NOT NULL</w:t>
            </w:r>
          </w:p>
        </w:tc>
      </w:tr>
      <w:tr>
        <w:trPr>
          <w:cantSplit/>
        </w:trPr>
        <w:tc>
          <w:tcPr>
            <w:tcW w:type="dxa" w:w="23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bCs/>
                <w:sz w:val="18"/>
                <w:szCs w:val="18"/>
              </w:rPr>
              <w:t xml:space="preserve">CodeTy / LibelleTypeSoc</w:t>
            </w:r>
          </w:p>
        </w:tc>
        <w:tc>
          <w:tcPr>
            <w:tcW w:type="dxa" w:w="19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TYPE_SOCIETE</w:t>
            </w:r>
          </w:p>
        </w:tc>
        <w:tc>
          <w:tcPr>
            <w:tcW w:type="dxa" w:w="44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Type d'entreprise selon sa taille (définition européenne, FR et DE)</w:t>
            </w:r>
          </w:p>
        </w:tc>
        <w:tc>
          <w:tcPr>
            <w:tcW w:type="dxa" w:w="21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VARCHAR2(5) / VARCHAR2(50)</w:t>
            </w:r>
          </w:p>
        </w:tc>
        <w:tc>
          <w:tcPr>
            <w:tcW w:type="dxa" w:w="37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CodeTy ∈ {MICRO, PME, ETI, GE}</w:t>
            </w:r>
          </w:p>
        </w:tc>
      </w:tr>
      <w:tr>
        <w:trPr>
          <w:cantSplit/>
        </w:trPr>
        <w:tc>
          <w:tcPr>
            <w:tcW w:type="dxa" w:w="23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bCs/>
                <w:sz w:val="18"/>
                <w:szCs w:val="18"/>
              </w:rPr>
              <w:t xml:space="preserve">CodeDO / CodeCJ / CodeTy (dans SOCIETE)</w:t>
            </w:r>
          </w:p>
        </w:tc>
        <w:tc>
          <w:tcPr>
            <w:tcW w:type="dxa" w:w="19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SOCIETE</w:t>
            </w:r>
          </w:p>
        </w:tc>
        <w:tc>
          <w:tcPr>
            <w:tcW w:type="dxa" w:w="44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Domaine, catégorie juridique et type de la société</w:t>
            </w:r>
          </w:p>
        </w:tc>
        <w:tc>
          <w:tcPr>
            <w:tcW w:type="dxa" w:w="21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VARCHAR2</w:t>
            </w:r>
          </w:p>
        </w:tc>
        <w:tc>
          <w:tcPr>
            <w:tcW w:type="dxa" w:w="37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CodeDO facultatif (pas de NAF en DE) ; CodeCJ obligatoire ; CodeTy facultatif</w:t>
            </w:r>
          </w:p>
        </w:tc>
      </w:tr>
      <w:tr>
        <w:trPr>
          <w:cantSplit/>
        </w:trPr>
        <w:tc>
          <w:tcPr>
            <w:tcW w:type="dxa" w:w="23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bCs/>
                <w:sz w:val="18"/>
                <w:szCs w:val="18"/>
              </w:rPr>
              <w:t xml:space="preserve">CodeSE / NomSE</w:t>
            </w:r>
          </w:p>
        </w:tc>
        <w:tc>
          <w:tcPr>
            <w:tcW w:type="dxa" w:w="19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SERVICE</w:t>
            </w:r>
          </w:p>
        </w:tc>
        <w:tc>
          <w:tcPr>
            <w:tcW w:type="dxa" w:w="44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Service d'une société (V1)</w:t>
            </w:r>
          </w:p>
        </w:tc>
        <w:tc>
          <w:tcPr>
            <w:tcW w:type="dxa" w:w="21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NUMBER / VARCHAR2(50)</w:t>
            </w:r>
          </w:p>
        </w:tc>
        <w:tc>
          <w:tcPr>
            <w:tcW w:type="dxa" w:w="37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CodeSE &gt; 0</w:t>
            </w:r>
          </w:p>
        </w:tc>
      </w:tr>
      <w:tr>
        <w:trPr>
          <w:cantSplit/>
        </w:trPr>
        <w:tc>
          <w:tcPr>
            <w:tcW w:type="dxa" w:w="23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bCs/>
                <w:sz w:val="18"/>
                <w:szCs w:val="18"/>
              </w:rPr>
              <w:t xml:space="preserve">CodeCAT / NomCAT / SuperCAT</w:t>
            </w:r>
          </w:p>
        </w:tc>
        <w:tc>
          <w:tcPr>
            <w:tcW w:type="dxa" w:w="19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CATEGORIE</w:t>
            </w:r>
          </w:p>
        </w:tc>
        <w:tc>
          <w:tcPr>
            <w:tcW w:type="dxa" w:w="44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Profil et classe de trajet (V1, annexe 2)</w:t>
            </w:r>
          </w:p>
        </w:tc>
        <w:tc>
          <w:tcPr>
            <w:tcW w:type="dxa" w:w="21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CHAR(5) / VARCHAR2(100)</w:t>
            </w:r>
          </w:p>
        </w:tc>
        <w:tc>
          <w:tcPr>
            <w:tcW w:type="dxa" w:w="37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Masque AA-99</w:t>
            </w:r>
          </w:p>
        </w:tc>
      </w:tr>
      <w:tr>
        <w:trPr>
          <w:cantSplit/>
        </w:trPr>
        <w:tc>
          <w:tcPr>
            <w:tcW w:type="dxa" w:w="23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bCs/>
                <w:sz w:val="18"/>
                <w:szCs w:val="18"/>
              </w:rPr>
              <w:t xml:space="preserve">CodeE / NomE / PrenomE</w:t>
            </w:r>
          </w:p>
        </w:tc>
        <w:tc>
          <w:tcPr>
            <w:tcW w:type="dxa" w:w="19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EMPLOYE</w:t>
            </w:r>
          </w:p>
        </w:tc>
        <w:tc>
          <w:tcPr>
            <w:tcW w:type="dxa" w:w="44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Employé (V1) ; CodeSE = service actuel</w:t>
            </w:r>
          </w:p>
        </w:tc>
        <w:tc>
          <w:tcPr>
            <w:tcW w:type="dxa" w:w="21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NUMBER / VARCHAR2(50)</w:t>
            </w:r>
          </w:p>
        </w:tc>
        <w:tc>
          <w:tcPr>
            <w:tcW w:type="dxa" w:w="37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CodeE &gt; 0</w:t>
            </w:r>
          </w:p>
        </w:tc>
      </w:tr>
      <w:tr>
        <w:trPr>
          <w:cantSplit/>
        </w:trPr>
        <w:tc>
          <w:tcPr>
            <w:tcW w:type="dxa" w:w="23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bCs/>
                <w:sz w:val="18"/>
                <w:szCs w:val="18"/>
              </w:rPr>
              <w:t xml:space="preserve">DateDebutAffect / DateFinAffect</w:t>
            </w:r>
          </w:p>
        </w:tc>
        <w:tc>
          <w:tcPr>
            <w:tcW w:type="dxa" w:w="19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ETRE_AFFECTE</w:t>
            </w:r>
          </w:p>
        </w:tc>
        <w:tc>
          <w:tcPr>
            <w:tcW w:type="dxa" w:w="44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Période d'affectation d'un employé à un service (RG14)</w:t>
            </w:r>
          </w:p>
        </w:tc>
        <w:tc>
          <w:tcPr>
            <w:tcW w:type="dxa" w:w="21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DATE</w:t>
            </w:r>
          </w:p>
        </w:tc>
        <w:tc>
          <w:tcPr>
            <w:tcW w:type="dxa" w:w="37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DateFinAffect &gt; DateDebutAffect ou vide (affectation en cours)</w:t>
            </w:r>
          </w:p>
        </w:tc>
      </w:tr>
      <w:tr>
        <w:trPr>
          <w:cantSplit/>
        </w:trPr>
        <w:tc>
          <w:tcPr>
            <w:tcW w:type="dxa" w:w="23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bCs/>
                <w:sz w:val="18"/>
                <w:szCs w:val="18"/>
              </w:rPr>
              <w:t xml:space="preserve">MatriculeSAL / NumEtab</w:t>
            </w:r>
          </w:p>
        </w:tc>
        <w:tc>
          <w:tcPr>
            <w:tcW w:type="dxa" w:w="19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SALARIE_RH</w:t>
            </w:r>
          </w:p>
        </w:tc>
        <w:tc>
          <w:tcPr>
            <w:tcW w:type="dxa" w:w="44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Identifiant RH du salarié : matricule attribué par le SIRH de l'employeur, unique dans son établissement ; NumEtab = SIRET (FR) ou Betriebsnummer (DE) (RG6)</w:t>
            </w:r>
          </w:p>
        </w:tc>
        <w:tc>
          <w:tcPr>
            <w:tcW w:type="dxa" w:w="21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VARCHAR2(20) / VARCHAR2(14)</w:t>
            </w:r>
          </w:p>
        </w:tc>
        <w:tc>
          <w:tcPr>
            <w:tcW w:type="dxa" w:w="37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Clé primaire composée ; NumEtab sur 14 ou 8 chiffres</w:t>
            </w:r>
          </w:p>
        </w:tc>
      </w:tr>
      <w:tr>
        <w:trPr>
          <w:cantSplit/>
        </w:trPr>
        <w:tc>
          <w:tcPr>
            <w:tcW w:type="dxa" w:w="23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bCs/>
                <w:sz w:val="18"/>
                <w:szCs w:val="18"/>
              </w:rPr>
              <w:t xml:space="preserve">DateNaissSAL / DateEntreeSAL / CPResidenceSAL</w:t>
            </w:r>
          </w:p>
        </w:tc>
        <w:tc>
          <w:tcPr>
            <w:tcW w:type="dxa" w:w="19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SALARIE_RH</w:t>
            </w:r>
          </w:p>
        </w:tc>
        <w:tc>
          <w:tcPr>
            <w:tcW w:type="dxa" w:w="44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Données RH du salarié</w:t>
            </w:r>
          </w:p>
        </w:tc>
        <w:tc>
          <w:tcPr>
            <w:tcW w:type="dxa" w:w="21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DATE / VARCHAR2(10)</w:t>
            </w:r>
          </w:p>
        </w:tc>
        <w:tc>
          <w:tcPr>
            <w:tcW w:type="dxa" w:w="37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DateEntreeSAL &gt; DateNaissSAL</w:t>
            </w:r>
          </w:p>
        </w:tc>
      </w:tr>
      <w:tr>
        <w:trPr>
          <w:cantSplit/>
        </w:trPr>
        <w:tc>
          <w:tcPr>
            <w:tcW w:type="dxa" w:w="23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bCs/>
                <w:sz w:val="18"/>
                <w:szCs w:val="18"/>
              </w:rPr>
              <w:t xml:space="preserve">LibelleServiceSAL</w:t>
            </w:r>
          </w:p>
        </w:tc>
        <w:tc>
          <w:tcPr>
            <w:tcW w:type="dxa" w:w="19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SALARIE_RH</w:t>
            </w:r>
          </w:p>
        </w:tc>
        <w:tc>
          <w:tcPr>
            <w:tcW w:type="dxa" w:w="44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Libellé du service saisi librement par le RH, conservé brut pour la traçabilité (RG7)</w:t>
            </w:r>
          </w:p>
        </w:tc>
        <w:tc>
          <w:tcPr>
            <w:tcW w:type="dxa" w:w="21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VARCHAR2(100)</w:t>
            </w:r>
          </w:p>
        </w:tc>
        <w:tc>
          <w:tcPr>
            <w:tcW w:type="dxa" w:w="37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
            </w:r>
          </w:p>
        </w:tc>
      </w:tr>
      <w:tr>
        <w:trPr>
          <w:cantSplit/>
        </w:trPr>
        <w:tc>
          <w:tcPr>
            <w:tcW w:type="dxa" w:w="23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bCs/>
                <w:sz w:val="18"/>
                <w:szCs w:val="18"/>
              </w:rPr>
              <w:t xml:space="preserve">CodeE (dans SALARIE_RH)</w:t>
            </w:r>
          </w:p>
        </w:tc>
        <w:tc>
          <w:tcPr>
            <w:tcW w:type="dxa" w:w="19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SALARIE_RH</w:t>
            </w:r>
          </w:p>
        </w:tc>
        <w:tc>
          <w:tcPr>
            <w:tcW w:type="dxa" w:w="44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Employé MobiPass correspondant, issu du rapprochement contrôlé (association Correspondre)</w:t>
            </w:r>
          </w:p>
        </w:tc>
        <w:tc>
          <w:tcPr>
            <w:tcW w:type="dxa" w:w="21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NUMBER(10)</w:t>
            </w:r>
          </w:p>
        </w:tc>
        <w:tc>
          <w:tcPr>
            <w:tcW w:type="dxa" w:w="37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NOT NULL ; FK vers EMPLOYE ; UNIQUE</w:t>
            </w:r>
          </w:p>
        </w:tc>
      </w:tr>
      <w:tr>
        <w:trPr>
          <w:cantSplit/>
        </w:trPr>
        <w:tc>
          <w:tcPr>
            <w:tcW w:type="dxa" w:w="23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bCs/>
                <w:sz w:val="18"/>
                <w:szCs w:val="18"/>
              </w:rPr>
              <w:t xml:space="preserve">CodeGD / LibelleGD</w:t>
            </w:r>
          </w:p>
        </w:tc>
        <w:tc>
          <w:tcPr>
            <w:tcW w:type="dxa" w:w="19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GRAND_DOMAINE</w:t>
            </w:r>
          </w:p>
        </w:tc>
        <w:tc>
          <w:tcPr>
            <w:tcW w:type="dxa" w:w="44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Grand domaine ROME</w:t>
            </w:r>
          </w:p>
        </w:tc>
        <w:tc>
          <w:tcPr>
            <w:tcW w:type="dxa" w:w="21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CHAR(1) / VARCHAR2(100)</w:t>
            </w:r>
          </w:p>
        </w:tc>
        <w:tc>
          <w:tcPr>
            <w:tcW w:type="dxa" w:w="37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ex. M</w:t>
            </w:r>
          </w:p>
        </w:tc>
      </w:tr>
      <w:tr>
        <w:trPr>
          <w:cantSplit/>
        </w:trPr>
        <w:tc>
          <w:tcPr>
            <w:tcW w:type="dxa" w:w="23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bCs/>
                <w:sz w:val="18"/>
                <w:szCs w:val="18"/>
              </w:rPr>
              <w:t xml:space="preserve">CodeDP / LibelleDP</w:t>
            </w:r>
          </w:p>
        </w:tc>
        <w:tc>
          <w:tcPr>
            <w:tcW w:type="dxa" w:w="19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DOMAINE_PRO</w:t>
            </w:r>
          </w:p>
        </w:tc>
        <w:tc>
          <w:tcPr>
            <w:tcW w:type="dxa" w:w="44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Domaine professionnel ROME</w:t>
            </w:r>
          </w:p>
        </w:tc>
        <w:tc>
          <w:tcPr>
            <w:tcW w:type="dxa" w:w="21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CHAR(3) / VARCHAR2(150)</w:t>
            </w:r>
          </w:p>
        </w:tc>
        <w:tc>
          <w:tcPr>
            <w:tcW w:type="dxa" w:w="37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ex. M18</w:t>
            </w:r>
          </w:p>
        </w:tc>
      </w:tr>
      <w:tr>
        <w:trPr>
          <w:cantSplit/>
        </w:trPr>
        <w:tc>
          <w:tcPr>
            <w:tcW w:type="dxa" w:w="23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bCs/>
                <w:sz w:val="18"/>
                <w:szCs w:val="18"/>
              </w:rPr>
              <w:t xml:space="preserve">CodeROME / LibelleMetier</w:t>
            </w:r>
          </w:p>
        </w:tc>
        <w:tc>
          <w:tcPr>
            <w:tcW w:type="dxa" w:w="19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FICHE_METIER</w:t>
            </w:r>
          </w:p>
        </w:tc>
        <w:tc>
          <w:tcPr>
            <w:tcW w:type="dxa" w:w="44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Fiche métier ROME</w:t>
            </w:r>
          </w:p>
        </w:tc>
        <w:tc>
          <w:tcPr>
            <w:tcW w:type="dxa" w:w="21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CHAR(5) / VARCHAR2(150)</w:t>
            </w:r>
          </w:p>
        </w:tc>
        <w:tc>
          <w:tcPr>
            <w:tcW w:type="dxa" w:w="37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ex. M1805</w:t>
            </w:r>
          </w:p>
        </w:tc>
      </w:tr>
      <w:tr>
        <w:trPr>
          <w:cantSplit/>
        </w:trPr>
        <w:tc>
          <w:tcPr>
            <w:tcW w:type="dxa" w:w="23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bCs/>
                <w:sz w:val="18"/>
                <w:szCs w:val="18"/>
              </w:rPr>
              <w:t xml:space="preserve">CodeAPP / LibelleAPP</w:t>
            </w:r>
          </w:p>
        </w:tc>
        <w:tc>
          <w:tcPr>
            <w:tcW w:type="dxa" w:w="19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APPELLATION</w:t>
            </w:r>
          </w:p>
        </w:tc>
        <w:tc>
          <w:tcPr>
            <w:tcW w:type="dxa" w:w="44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Appellation ROME</w:t>
            </w:r>
          </w:p>
        </w:tc>
        <w:tc>
          <w:tcPr>
            <w:tcW w:type="dxa" w:w="21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VARCHAR2(6) / VARCHAR2(200)</w:t>
            </w:r>
          </w:p>
        </w:tc>
        <w:tc>
          <w:tcPr>
            <w:tcW w:type="dxa" w:w="37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
            </w:r>
          </w:p>
        </w:tc>
      </w:tr>
      <w:tr>
        <w:trPr>
          <w:cantSplit/>
        </w:trPr>
        <w:tc>
          <w:tcPr>
            <w:tcW w:type="dxa" w:w="23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bCs/>
                <w:sz w:val="18"/>
                <w:szCs w:val="18"/>
              </w:rPr>
              <w:t xml:space="preserve">DateDebutMetier / DateFinMetier</w:t>
            </w:r>
          </w:p>
        </w:tc>
        <w:tc>
          <w:tcPr>
            <w:tcW w:type="dxa" w:w="19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EXERCER</w:t>
            </w:r>
          </w:p>
        </w:tc>
        <w:tc>
          <w:tcPr>
            <w:tcW w:type="dxa" w:w="44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Période d'exercice d'un métier par un salarié français (RG9)</w:t>
            </w:r>
          </w:p>
        </w:tc>
        <w:tc>
          <w:tcPr>
            <w:tcW w:type="dxa" w:w="21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DATE</w:t>
            </w:r>
          </w:p>
        </w:tc>
        <w:tc>
          <w:tcPr>
            <w:tcW w:type="dxa" w:w="37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DateFinMetier &gt; DateDebutMetier ou vide (métier actuel) ; NumEtab sur 14 chiffres (FR)</w:t>
            </w:r>
          </w:p>
        </w:tc>
      </w:tr>
      <w:tr>
        <w:trPr>
          <w:cantSplit/>
        </w:trPr>
        <w:tc>
          <w:tcPr>
            <w:tcW w:type="dxa" w:w="23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bCs/>
                <w:sz w:val="18"/>
                <w:szCs w:val="18"/>
              </w:rPr>
              <w:t xml:space="preserve">TypeContrat</w:t>
            </w:r>
          </w:p>
        </w:tc>
        <w:tc>
          <w:tcPr>
            <w:tcW w:type="dxa" w:w="19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EXERCER</w:t>
            </w:r>
          </w:p>
        </w:tc>
        <w:tc>
          <w:tcPr>
            <w:tcW w:type="dxa" w:w="44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Type de contrat pendant la période</w:t>
            </w:r>
          </w:p>
        </w:tc>
        <w:tc>
          <w:tcPr>
            <w:tcW w:type="dxa" w:w="21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VARCHAR2(20)</w:t>
            </w:r>
          </w:p>
        </w:tc>
        <w:tc>
          <w:tcPr>
            <w:tcW w:type="dxa" w:w="37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 {CDI, CDD, ALTERNANCE, STAGE, INTERIM}</w:t>
            </w:r>
          </w:p>
        </w:tc>
      </w:tr>
      <w:tr>
        <w:trPr>
          <w:cantSplit/>
        </w:trPr>
        <w:tc>
          <w:tcPr>
            <w:tcW w:type="dxa" w:w="23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bCs/>
                <w:sz w:val="18"/>
                <w:szCs w:val="18"/>
              </w:rPr>
              <w:t xml:space="preserve">CodeFAB / NomFAB / PaysFAB</w:t>
            </w:r>
          </w:p>
        </w:tc>
        <w:tc>
          <w:tcPr>
            <w:tcW w:type="dxa" w:w="19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FABRICANT</w:t>
            </w:r>
          </w:p>
        </w:tc>
        <w:tc>
          <w:tcPr>
            <w:tcW w:type="dxa" w:w="44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Fabricant d'une génération</w:t>
            </w:r>
          </w:p>
        </w:tc>
        <w:tc>
          <w:tcPr>
            <w:tcW w:type="dxa" w:w="21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VARCHAR2(10) / VARCHAR2(50)</w:t>
            </w:r>
          </w:p>
        </w:tc>
        <w:tc>
          <w:tcPr>
            <w:tcW w:type="dxa" w:w="37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
            </w:r>
          </w:p>
        </w:tc>
      </w:tr>
      <w:tr>
        <w:trPr>
          <w:cantSplit/>
        </w:trPr>
        <w:tc>
          <w:tcPr>
            <w:tcW w:type="dxa" w:w="23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bCs/>
                <w:sz w:val="18"/>
                <w:szCs w:val="18"/>
              </w:rPr>
              <w:t xml:space="preserve">CodeGEN / NomGEN</w:t>
            </w:r>
          </w:p>
        </w:tc>
        <w:tc>
          <w:tcPr>
            <w:tcW w:type="dxa" w:w="19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GENERATION</w:t>
            </w:r>
          </w:p>
        </w:tc>
        <w:tc>
          <w:tcPr>
            <w:tcW w:type="dxa" w:w="44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Génération d'un produit</w:t>
            </w:r>
          </w:p>
        </w:tc>
        <w:tc>
          <w:tcPr>
            <w:tcW w:type="dxa" w:w="21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VARCHAR2(10) / VARCHAR2(50)</w:t>
            </w:r>
          </w:p>
        </w:tc>
        <w:tc>
          <w:tcPr>
            <w:tcW w:type="dxa" w:w="37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
            </w:r>
          </w:p>
        </w:tc>
      </w:tr>
      <w:tr>
        <w:trPr>
          <w:cantSplit/>
        </w:trPr>
        <w:tc>
          <w:tcPr>
            <w:tcW w:type="dxa" w:w="23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bCs/>
                <w:sz w:val="18"/>
                <w:szCs w:val="18"/>
              </w:rPr>
              <w:t xml:space="preserve">DateSortieGEN / DateArretGEN</w:t>
            </w:r>
          </w:p>
        </w:tc>
        <w:tc>
          <w:tcPr>
            <w:tcW w:type="dxa" w:w="19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GENERATION</w:t>
            </w:r>
          </w:p>
        </w:tc>
        <w:tc>
          <w:tcPr>
            <w:tcW w:type="dxa" w:w="44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Dates de sortie et d'arrêt</w:t>
            </w:r>
          </w:p>
        </w:tc>
        <w:tc>
          <w:tcPr>
            <w:tcW w:type="dxa" w:w="21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DATE</w:t>
            </w:r>
          </w:p>
        </w:tc>
        <w:tc>
          <w:tcPr>
            <w:tcW w:type="dxa" w:w="37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DateArretGEN &gt; DateSortieGEN ou vide</w:t>
            </w:r>
          </w:p>
        </w:tc>
      </w:tr>
      <w:tr>
        <w:trPr>
          <w:cantSplit/>
        </w:trPr>
        <w:tc>
          <w:tcPr>
            <w:tcW w:type="dxa" w:w="23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bCs/>
                <w:sz w:val="18"/>
                <w:szCs w:val="18"/>
              </w:rPr>
              <w:t xml:space="preserve">CodeG / NomG / SecteurG</w:t>
            </w:r>
          </w:p>
        </w:tc>
        <w:tc>
          <w:tcPr>
            <w:tcW w:type="dxa" w:w="19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GAMME</w:t>
            </w:r>
          </w:p>
        </w:tc>
        <w:tc>
          <w:tcPr>
            <w:tcW w:type="dxa" w:w="44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Gamme et secteur (V1, annexe 3)</w:t>
            </w:r>
          </w:p>
        </w:tc>
        <w:tc>
          <w:tcPr>
            <w:tcW w:type="dxa" w:w="21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CHAR(5) / VARCHAR2(50)</w:t>
            </w:r>
          </w:p>
        </w:tc>
        <w:tc>
          <w:tcPr>
            <w:tcW w:type="dxa" w:w="37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
            </w:r>
          </w:p>
        </w:tc>
      </w:tr>
      <w:tr>
        <w:trPr>
          <w:cantSplit/>
        </w:trPr>
        <w:tc>
          <w:tcPr>
            <w:tcW w:type="dxa" w:w="23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bCs/>
                <w:sz w:val="18"/>
                <w:szCs w:val="18"/>
              </w:rPr>
              <w:t xml:space="preserve">CodeP / NomP / MarqueP</w:t>
            </w:r>
          </w:p>
        </w:tc>
        <w:tc>
          <w:tcPr>
            <w:tcW w:type="dxa" w:w="19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PRODUIT</w:t>
            </w:r>
          </w:p>
        </w:tc>
        <w:tc>
          <w:tcPr>
            <w:tcW w:type="dxa" w:w="44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Produit (V1)</w:t>
            </w:r>
          </w:p>
        </w:tc>
        <w:tc>
          <w:tcPr>
            <w:tcW w:type="dxa" w:w="21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NUMBER / VARCHAR2(50)</w:t>
            </w:r>
          </w:p>
        </w:tc>
        <w:tc>
          <w:tcPr>
            <w:tcW w:type="dxa" w:w="37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
            </w:r>
          </w:p>
        </w:tc>
      </w:tr>
      <w:tr>
        <w:trPr>
          <w:cantSplit/>
        </w:trPr>
        <w:tc>
          <w:tcPr>
            <w:tcW w:type="dxa" w:w="23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bCs/>
                <w:sz w:val="18"/>
                <w:szCs w:val="18"/>
              </w:rPr>
              <w:t xml:space="preserve">DescriptifP / PoidsKg / AutonomieKm</w:t>
            </w:r>
          </w:p>
        </w:tc>
        <w:tc>
          <w:tcPr>
            <w:tcW w:type="dxa" w:w="19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PRODUIT</w:t>
            </w:r>
          </w:p>
        </w:tc>
        <w:tc>
          <w:tcPr>
            <w:tcW w:type="dxa" w:w="44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Caractéristiques techniques</w:t>
            </w:r>
          </w:p>
        </w:tc>
        <w:tc>
          <w:tcPr>
            <w:tcW w:type="dxa" w:w="21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VARCHAR2(500) / NUMBER(6,2) / NUMBER(5)</w:t>
            </w:r>
          </w:p>
        </w:tc>
        <w:tc>
          <w:tcPr>
            <w:tcW w:type="dxa" w:w="37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&gt; 0 ; AutonomieKm vide si non électrique</w:t>
            </w:r>
          </w:p>
        </w:tc>
      </w:tr>
      <w:tr>
        <w:trPr>
          <w:cantSplit/>
        </w:trPr>
        <w:tc>
          <w:tcPr>
            <w:tcW w:type="dxa" w:w="23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bCs/>
                <w:sz w:val="18"/>
                <w:szCs w:val="18"/>
              </w:rPr>
              <w:t xml:space="preserve">DateDebutTarif / DateFinTarif</w:t>
            </w:r>
          </w:p>
        </w:tc>
        <w:tc>
          <w:tcPr>
            <w:tcW w:type="dxa" w:w="19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TARIF</w:t>
            </w:r>
          </w:p>
        </w:tc>
        <w:tc>
          <w:tcPr>
            <w:tcW w:type="dxa" w:w="44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Période de validité du tarif (RG4)</w:t>
            </w:r>
          </w:p>
        </w:tc>
        <w:tc>
          <w:tcPr>
            <w:tcW w:type="dxa" w:w="21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DATE</w:t>
            </w:r>
          </w:p>
        </w:tc>
        <w:tc>
          <w:tcPr>
            <w:tcW w:type="dxa" w:w="37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DateFinTarif &gt; DateDebutTarif ou vide</w:t>
            </w:r>
          </w:p>
        </w:tc>
      </w:tr>
      <w:tr>
        <w:trPr>
          <w:cantSplit/>
        </w:trPr>
        <w:tc>
          <w:tcPr>
            <w:tcW w:type="dxa" w:w="23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bCs/>
                <w:sz w:val="18"/>
                <w:szCs w:val="18"/>
              </w:rPr>
              <w:t xml:space="preserve">Prix_loc_jour / Prix_vente</w:t>
            </w:r>
          </w:p>
        </w:tc>
        <w:tc>
          <w:tcPr>
            <w:tcW w:type="dxa" w:w="19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TARIF</w:t>
            </w:r>
          </w:p>
        </w:tc>
        <w:tc>
          <w:tcPr>
            <w:tcW w:type="dxa" w:w="44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Prix publics de location par jour et de vente</w:t>
            </w:r>
          </w:p>
        </w:tc>
        <w:tc>
          <w:tcPr>
            <w:tcW w:type="dxa" w:w="21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NUMBER(10,2)</w:t>
            </w:r>
          </w:p>
        </w:tc>
        <w:tc>
          <w:tcPr>
            <w:tcW w:type="dxa" w:w="37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&gt; 0 ; Prix_vente &gt; Prix_loc_jour</w:t>
            </w:r>
          </w:p>
        </w:tc>
      </w:tr>
      <w:tr>
        <w:trPr>
          <w:cantSplit/>
        </w:trPr>
        <w:tc>
          <w:tcPr>
            <w:tcW w:type="dxa" w:w="23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bCs/>
                <w:sz w:val="18"/>
                <w:szCs w:val="18"/>
              </w:rPr>
              <w:t xml:space="preserve">ModePrix</w:t>
            </w:r>
          </w:p>
        </w:tc>
        <w:tc>
          <w:tcPr>
            <w:tcW w:type="dxa" w:w="19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TARIF</w:t>
            </w:r>
          </w:p>
        </w:tc>
        <w:tc>
          <w:tcPr>
            <w:tcW w:type="dxa" w:w="44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Mode d'expression du prix (RG5)</w:t>
            </w:r>
          </w:p>
        </w:tc>
        <w:tc>
          <w:tcPr>
            <w:tcW w:type="dxa" w:w="21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VARCHAR2(3)</w:t>
            </w:r>
          </w:p>
        </w:tc>
        <w:tc>
          <w:tcPr>
            <w:tcW w:type="dxa" w:w="37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 {HT, TTC}</w:t>
            </w:r>
          </w:p>
        </w:tc>
      </w:tr>
      <w:tr>
        <w:trPr>
          <w:cantSplit/>
        </w:trPr>
        <w:tc>
          <w:tcPr>
            <w:tcW w:type="dxa" w:w="23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bCs/>
                <w:sz w:val="18"/>
                <w:szCs w:val="18"/>
              </w:rPr>
              <w:t xml:space="preserve">CodeAG / NomAG / VilleAG</w:t>
            </w:r>
          </w:p>
        </w:tc>
        <w:tc>
          <w:tcPr>
            <w:tcW w:type="dxa" w:w="19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AGENCE</w:t>
            </w:r>
          </w:p>
        </w:tc>
        <w:tc>
          <w:tcPr>
            <w:tcW w:type="dxa" w:w="44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Agence de rattachement des exemplaires</w:t>
            </w:r>
          </w:p>
        </w:tc>
        <w:tc>
          <w:tcPr>
            <w:tcW w:type="dxa" w:w="21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VARCHAR2(10) / VARCHAR2(50)</w:t>
            </w:r>
          </w:p>
        </w:tc>
        <w:tc>
          <w:tcPr>
            <w:tcW w:type="dxa" w:w="37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
            </w:r>
          </w:p>
        </w:tc>
      </w:tr>
      <w:tr>
        <w:trPr>
          <w:cantSplit/>
        </w:trPr>
        <w:tc>
          <w:tcPr>
            <w:tcW w:type="dxa" w:w="23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bCs/>
                <w:sz w:val="18"/>
                <w:szCs w:val="18"/>
              </w:rPr>
              <w:t xml:space="preserve">CodeEX / NumSerieEX</w:t>
            </w:r>
          </w:p>
        </w:tc>
        <w:tc>
          <w:tcPr>
            <w:tcW w:type="dxa" w:w="19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EXEMPLAIRE</w:t>
            </w:r>
          </w:p>
        </w:tc>
        <w:tc>
          <w:tcPr>
            <w:tcW w:type="dxa" w:w="44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Exemplaire d'un produit</w:t>
            </w:r>
          </w:p>
        </w:tc>
        <w:tc>
          <w:tcPr>
            <w:tcW w:type="dxa" w:w="21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NUMBER / VARCHAR2(30)</w:t>
            </w:r>
          </w:p>
        </w:tc>
        <w:tc>
          <w:tcPr>
            <w:tcW w:type="dxa" w:w="37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CodeEX &gt; 0 ; NumSerieEX UNIQUE</w:t>
            </w:r>
          </w:p>
        </w:tc>
      </w:tr>
      <w:tr>
        <w:trPr>
          <w:cantSplit/>
        </w:trPr>
        <w:tc>
          <w:tcPr>
            <w:tcW w:type="dxa" w:w="23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bCs/>
                <w:sz w:val="18"/>
                <w:szCs w:val="18"/>
              </w:rPr>
              <w:t xml:space="preserve">DateMiseServiceEX / DateReformeEX</w:t>
            </w:r>
          </w:p>
        </w:tc>
        <w:tc>
          <w:tcPr>
            <w:tcW w:type="dxa" w:w="19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EXEMPLAIRE</w:t>
            </w:r>
          </w:p>
        </w:tc>
        <w:tc>
          <w:tcPr>
            <w:tcW w:type="dxa" w:w="44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Dates de mise en service et de réforme</w:t>
            </w:r>
          </w:p>
        </w:tc>
        <w:tc>
          <w:tcPr>
            <w:tcW w:type="dxa" w:w="21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DATE</w:t>
            </w:r>
          </w:p>
        </w:tc>
        <w:tc>
          <w:tcPr>
            <w:tcW w:type="dxa" w:w="37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DateReformeEX &gt; DateMiseServiceEX ou vide</w:t>
            </w:r>
          </w:p>
        </w:tc>
      </w:tr>
      <w:tr>
        <w:trPr>
          <w:cantSplit/>
        </w:trPr>
        <w:tc>
          <w:tcPr>
            <w:tcW w:type="dxa" w:w="23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bCs/>
                <w:sz w:val="18"/>
                <w:szCs w:val="18"/>
              </w:rPr>
              <w:t xml:space="preserve">Annee / PctReduc_Loc / PctReduc_Achat</w:t>
            </w:r>
          </w:p>
        </w:tc>
        <w:tc>
          <w:tcPr>
            <w:tcW w:type="dxa" w:w="19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REDUCTION</w:t>
            </w:r>
          </w:p>
        </w:tc>
        <w:tc>
          <w:tcPr>
            <w:tcW w:type="dxa" w:w="44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Pourcentages de réduction annuels (V1, renommés car % interdit dans Oracle)</w:t>
            </w:r>
          </w:p>
        </w:tc>
        <w:tc>
          <w:tcPr>
            <w:tcW w:type="dxa" w:w="21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NUMBER(4) / NUMBER(4,3)</w:t>
            </w:r>
          </w:p>
        </w:tc>
        <w:tc>
          <w:tcPr>
            <w:tcW w:type="dxa" w:w="37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&gt; 0 et &lt;= 1</w:t>
            </w:r>
          </w:p>
        </w:tc>
      </w:tr>
      <w:tr>
        <w:trPr>
          <w:cantSplit/>
        </w:trPr>
        <w:tc>
          <w:tcPr>
            <w:tcW w:type="dxa" w:w="23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bCs/>
                <w:sz w:val="18"/>
                <w:szCs w:val="18"/>
              </w:rPr>
              <w:t xml:space="preserve">DateA / Qte</w:t>
            </w:r>
          </w:p>
        </w:tc>
        <w:tc>
          <w:tcPr>
            <w:tcW w:type="dxa" w:w="19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ACHAT</w:t>
            </w:r>
          </w:p>
        </w:tc>
        <w:tc>
          <w:tcPr>
            <w:tcW w:type="dxa" w:w="44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Date et quantité d'un achat (V1)</w:t>
            </w:r>
          </w:p>
        </w:tc>
        <w:tc>
          <w:tcPr>
            <w:tcW w:type="dxa" w:w="21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DATE / NUMBER</w:t>
            </w:r>
          </w:p>
        </w:tc>
        <w:tc>
          <w:tcPr>
            <w:tcW w:type="dxa" w:w="37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DateA &lt;= SYSDATE ; Qte &gt; 0</w:t>
            </w:r>
          </w:p>
        </w:tc>
      </w:tr>
      <w:tr>
        <w:trPr>
          <w:cantSplit/>
        </w:trPr>
        <w:tc>
          <w:tcPr>
            <w:tcW w:type="dxa" w:w="23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bCs/>
                <w:sz w:val="18"/>
                <w:szCs w:val="18"/>
              </w:rPr>
              <w:t xml:space="preserve">DateLPrev / Nb_Ex_Prev / DateResa / Duree_Prev</w:t>
            </w:r>
          </w:p>
        </w:tc>
        <w:tc>
          <w:tcPr>
            <w:tcW w:type="dxa" w:w="19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RESERVER</w:t>
            </w:r>
          </w:p>
        </w:tc>
        <w:tc>
          <w:tcPr>
            <w:tcW w:type="dxa" w:w="44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Réservation (V1)</w:t>
            </w:r>
          </w:p>
        </w:tc>
        <w:tc>
          <w:tcPr>
            <w:tcW w:type="dxa" w:w="21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DATE / NUMBER</w:t>
            </w:r>
          </w:p>
        </w:tc>
        <w:tc>
          <w:tcPr>
            <w:tcW w:type="dxa" w:w="37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DateResa &lt;= DateLPrev ; &gt; 0</w:t>
            </w:r>
          </w:p>
        </w:tc>
      </w:tr>
      <w:tr>
        <w:trPr>
          <w:cantSplit/>
        </w:trPr>
        <w:tc>
          <w:tcPr>
            <w:tcW w:type="dxa" w:w="23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bCs/>
                <w:sz w:val="18"/>
                <w:szCs w:val="18"/>
              </w:rPr>
              <w:t xml:space="preserve">DateL / Duree_Loc</w:t>
            </w:r>
          </w:p>
        </w:tc>
        <w:tc>
          <w:tcPr>
            <w:tcW w:type="dxa" w:w="19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LOUER</w:t>
            </w:r>
          </w:p>
        </w:tc>
        <w:tc>
          <w:tcPr>
            <w:tcW w:type="dxa" w:w="44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Location d'un exemplaire (V1), rattachée à sa date de début</w:t>
            </w:r>
          </w:p>
        </w:tc>
        <w:tc>
          <w:tcPr>
            <w:tcW w:type="dxa" w:w="21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DATE / NUMBER</w:t>
            </w:r>
          </w:p>
        </w:tc>
        <w:tc>
          <w:tcPr>
            <w:tcW w:type="dxa" w:w="37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DateL &lt;= SYSDATE ; Duree_Loc &gt; 0</w:t>
            </w:r>
          </w:p>
        </w:tc>
      </w:tr>
      <w:tr>
        <w:trPr>
          <w:cantSplit/>
        </w:trPr>
        <w:tc>
          <w:tcPr>
            <w:tcW w:type="dxa" w:w="23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bCs/>
                <w:sz w:val="18"/>
                <w:szCs w:val="18"/>
              </w:rPr>
              <w:t xml:space="preserve">CodePartenaire / NomPartenaire / TauxRemise</w:t>
            </w:r>
          </w:p>
        </w:tc>
        <w:tc>
          <w:tcPr>
            <w:tcW w:type="dxa" w:w="19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PARTENAIRE</w:t>
            </w:r>
          </w:p>
        </w:tc>
        <w:tc>
          <w:tcPr>
            <w:tcW w:type="dxa" w:w="44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Partenaire commercial et remise négociée (Alltricks : 20 %)</w:t>
            </w:r>
          </w:p>
        </w:tc>
        <w:tc>
          <w:tcPr>
            <w:tcW w:type="dxa" w:w="21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VARCHAR2(10) / VARCHAR2(50) / NUMBER(4,3)</w:t>
            </w:r>
          </w:p>
        </w:tc>
        <w:tc>
          <w:tcPr>
            <w:tcW w:type="dxa" w:w="37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0 &lt; TauxRemise &lt; 1</w:t>
            </w:r>
          </w:p>
        </w:tc>
      </w:tr>
      <w:tr>
        <w:trPr>
          <w:cantSplit/>
        </w:trPr>
        <w:tc>
          <w:tcPr>
            <w:tcW w:type="dxa" w:w="23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bCs/>
                <w:sz w:val="18"/>
                <w:szCs w:val="18"/>
              </w:rPr>
              <w:t xml:space="preserve">DateAP / MontantAchat</w:t>
            </w:r>
          </w:p>
        </w:tc>
        <w:tc>
          <w:tcPr>
            <w:tcW w:type="dxa" w:w="19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ACHAT_PARTENAIRE</w:t>
            </w:r>
          </w:p>
        </w:tc>
        <w:tc>
          <w:tcPr>
            <w:tcW w:type="dxa" w:w="44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Montant HT payé (remise déduite) par un employé chez un partenaire un jour donné ; remise obtenue = MontantAchat × TauxRemise / (1 − TauxRemise)</w:t>
            </w:r>
          </w:p>
        </w:tc>
        <w:tc>
          <w:tcPr>
            <w:tcW w:type="dxa" w:w="21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DATE / NUMBER(10,2)</w:t>
            </w:r>
          </w:p>
        </w:tc>
        <w:tc>
          <w:tcPr>
            <w:tcW w:type="dxa" w:w="3700"/>
            <w:tcBorders>
              <w:top w:val="single" w:color="8EA9C1" w:sz="4"/>
              <w:left w:val="single" w:color="8EA9C1" w:sz="4"/>
              <w:bottom w:val="single" w:color="8EA9C1" w:sz="4"/>
              <w:right w:val="single" w:color="8EA9C1" w:sz="4"/>
            </w:tcBorders>
            <w:tcMar>
              <w:top w:type="dxa" w:w="60"/>
              <w:left w:type="dxa" w:w="90"/>
              <w:bottom w:type="dxa" w:w="60"/>
              <w:right w:type="dxa" w:w="90"/>
            </w:tcMar>
            <w:vAlign w:val="center"/>
          </w:tcPr>
          <w:p>
            <w:pPr>
              <w:spacing w:after="0"/>
            </w:pPr>
            <w:r>
              <w:rPr>
                <w:rFonts w:ascii="Calibri" w:cs="Calibri" w:eastAsia="Calibri" w:hAnsi="Calibri"/>
                <w:b w:val="false"/>
                <w:bCs w:val="false"/>
                <w:sz w:val="18"/>
                <w:szCs w:val="18"/>
              </w:rPr>
              <w:t xml:space="preserve">DateAP &lt;= SYSDATE ; MontantAchat &gt; 0</w:t>
            </w:r>
          </w:p>
        </w:tc>
      </w:tr>
    </w:tbl>
    <w:p>
      <w:pPr>
        <w:spacing w:after="60"/>
      </w:pPr>
      <w:r>
        <w:rPr>
          <w:rFonts w:ascii="Calibri" w:cs="Calibri" w:eastAsia="Calibri" w:hAnsi="Calibri"/>
          <w:sz w:val="21"/>
          <w:szCs w:val="21"/>
        </w:rPr>
        <w:t xml:space="preserve"/>
      </w:r>
    </w:p>
    <w:p>
      <w:pPr>
        <w:pStyle w:val="Heading2"/>
      </w:pPr>
      <w:r>
        <w:t xml:space="preserve">Choix de l'architecture : DSA sans ODS</w:t>
      </w:r>
    </w:p>
    <w:p>
      <w:pPr>
        <w:spacing w:after="120"/>
      </w:pPr>
      <w:r>
        <w:rPr>
          <w:rFonts w:ascii="Calibri" w:cs="Calibri" w:eastAsia="Calibri" w:hAnsi="Calibri"/>
          <w:sz w:val="21"/>
          <w:szCs w:val="21"/>
        </w:rPr>
        <w:t xml:space="preserve">Nous retenons une zone de préparation des données (DSA) mais pas d'ODS. La DSA est indispensable car les sources sont hétérogènes (BD Oracle, BD du portail RH, fichiers CSV et Excel) et demandent des transformations avant chargement : correspondance matricule ↔ CodeE, rapprochement des libellés de services, conversion HT / TTC, rattachement des villes allemandes à leur Land. Un ODS n'est pas justifié : aucun décideur n'a besoin de données opérationnelles en temps réel, les analyses portent sur l'historique et l'alimentation est quotidienne (activité) ou mensuelle (RH).</w:t>
      </w:r>
    </w:p>
    <w:p>
      <w:pPr>
        <w:pStyle w:val="Heading2"/>
      </w:pPr>
      <w:r>
        <w:t xml:space="preserve">Correspondance des employés avec les données RH</w:t>
      </w:r>
    </w:p>
    <w:p>
      <w:pPr>
        <w:spacing w:after="120"/>
      </w:pPr>
      <w:r>
        <w:rPr>
          <w:rFonts w:ascii="Calibri" w:cs="Calibri" w:eastAsia="Calibri" w:hAnsi="Calibri"/>
          <w:sz w:val="21"/>
          <w:szCs w:val="21"/>
        </w:rPr>
        <w:t xml:space="preserve">Le client ne dispose d'aucune table de correspondance entre le couple (MatriculeSAL, NumEtab) des données RH (portail français ou fichier Excel allemand) et le code employé de l'ED ; il attend une solution avec vérifications. Nous proposons une table de travail dans la DSA :</w:t>
      </w:r>
    </w:p>
    <w:p>
      <w:pPr>
        <w:pStyle w:val="ListParagraph"/>
        <w:numPr>
          <w:ilvl w:val="0"/>
          <w:numId w:val="2"/>
        </w:numPr>
        <w:spacing w:after="40"/>
      </w:pPr>
      <w:r>
        <w:rPr>
          <w:b/>
          <w:bCs/>
          <w:color w:val="2E7D32"/>
          <w:sz w:val="20"/>
          <w:szCs w:val="20"/>
        </w:rPr>
        <w:t xml:space="preserve">DSA_CORRESP_EMPLOYE</w:t>
      </w:r>
      <w:r>
        <w:rPr>
          <w:sz w:val="20"/>
          <w:szCs w:val="20"/>
        </w:rPr>
        <w:t xml:space="preserve">(</w:t>
      </w:r>
      <w:r>
        <w:rPr>
          <w:sz w:val="20"/>
          <w:szCs w:val="20"/>
          <w:u w:val="single"/>
        </w:rPr>
        <w:t xml:space="preserve">MatriculeSAL</w:t>
      </w:r>
      <w:r>
        <w:rPr>
          <w:sz w:val="20"/>
          <w:szCs w:val="20"/>
        </w:rPr>
        <w:t xml:space="preserve">, </w:t>
      </w:r>
      <w:r>
        <w:rPr>
          <w:sz w:val="20"/>
          <w:szCs w:val="20"/>
          <w:u w:val="single"/>
        </w:rPr>
        <w:t xml:space="preserve">NumEtab</w:t>
      </w:r>
      <w:r>
        <w:rPr>
          <w:sz w:val="20"/>
          <w:szCs w:val="20"/>
        </w:rPr>
        <w:t xml:space="preserve">, </w:t>
      </w:r>
      <w:r>
        <w:rPr>
          <w:sz w:val="20"/>
          <w:szCs w:val="20"/>
        </w:rPr>
        <w:t xml:space="preserve">CodeE#</w:t>
      </w:r>
      <w:r>
        <w:rPr>
          <w:sz w:val="20"/>
          <w:szCs w:val="20"/>
        </w:rPr>
        <w:t xml:space="preserve">, </w:t>
      </w:r>
      <w:r>
        <w:rPr>
          <w:sz w:val="20"/>
          <w:szCs w:val="20"/>
        </w:rPr>
        <w:t xml:space="preserve">MethodeRapprochement</w:t>
      </w:r>
      <w:r>
        <w:rPr>
          <w:sz w:val="20"/>
          <w:szCs w:val="20"/>
        </w:rPr>
        <w:t xml:space="preserve">, </w:t>
      </w:r>
      <w:r>
        <w:rPr>
          <w:sz w:val="20"/>
          <w:szCs w:val="20"/>
        </w:rPr>
        <w:t xml:space="preserve">ScoreConfiance</w:t>
      </w:r>
      <w:r>
        <w:rPr>
          <w:sz w:val="20"/>
          <w:szCs w:val="20"/>
        </w:rPr>
        <w:t xml:space="preserve">, </w:t>
      </w:r>
      <w:r>
        <w:rPr>
          <w:sz w:val="20"/>
          <w:szCs w:val="20"/>
        </w:rPr>
        <w:t xml:space="preserve">StatutControle</w:t>
      </w:r>
      <w:r>
        <w:rPr>
          <w:sz w:val="20"/>
          <w:szCs w:val="20"/>
        </w:rPr>
        <w:t xml:space="preserve">, </w:t>
      </w:r>
      <w:r>
        <w:rPr>
          <w:sz w:val="20"/>
          <w:szCs w:val="20"/>
        </w:rPr>
        <w:t xml:space="preserve">DateControle</w:t>
      </w:r>
      <w:r>
        <w:rPr>
          <w:sz w:val="20"/>
          <w:szCs w:val="20"/>
        </w:rPr>
        <w:t xml:space="preserve">)</w:t>
      </w:r>
      <w:r>
        <w:rPr>
          <w:i/>
          <w:iCs/>
          <w:color w:val="808080"/>
          <w:sz w:val="16"/>
          <w:szCs w:val="16"/>
        </w:rPr>
        <w:t xml:space="preserve">   [nouvelle]</w:t>
      </w:r>
    </w:p>
    <w:p>
      <w:pPr>
        <w:spacing w:after="120"/>
      </w:pPr>
      <w:r>
        <w:rPr>
          <w:rFonts w:ascii="Calibri" w:cs="Calibri" w:eastAsia="Calibri" w:hAnsi="Calibri"/>
          <w:sz w:val="20"/>
          <w:szCs w:val="20"/>
        </w:rPr>
        <w:t xml:space="preserve">Principe : les données RH n'ajoutent jamais d'employé, elles enrichissent un employé qui existe déjà. Un CodeE ne peut naître que dans le système MobiPass, lors de l'inscription de l'employé : il porte un profil de trajet (CodeCAT obligatoire) que les RH ne fournissent pas. Créer un CodeE à partir d'une fiche RH risquerait en outre de dupliquer un employé déjà présent. On préfère une fiche en attente à un doublon.</w:t>
      </w:r>
    </w:p>
    <w:p>
      <w:pPr>
        <w:spacing w:after="40"/>
      </w:pPr>
      <w:r>
        <w:rPr>
          <w:rFonts w:ascii="Calibri" w:cs="Calibri" w:eastAsia="Calibri" w:hAnsi="Calibri"/>
          <w:b/>
          <w:bCs/>
          <w:sz w:val="20"/>
          <w:szCs w:val="20"/>
        </w:rPr>
        <w:t xml:space="preserve">Démarche, exécutée à chaque alimentation mensuelle :</w:t>
      </w:r>
    </w:p>
    <w:p>
      <w:pPr>
        <w:pStyle w:val="ListParagraph"/>
        <w:numPr>
          <w:ilvl w:val="0"/>
          <w:numId w:val="2"/>
        </w:numPr>
        <w:spacing w:after="60"/>
      </w:pPr>
      <w:r>
        <w:rPr>
          <w:sz w:val="20"/>
          <w:szCs w:val="20"/>
        </w:rPr>
        <w:t xml:space="preserve">0. Fiche déjà rapprochée lors d'un chargement précédent : le CodeE est repris directement depuis DSA_CORRESP_EMPLOYE, sans nouvelle recherche.</w:t>
      </w:r>
    </w:p>
    <w:p>
      <w:pPr>
        <w:pStyle w:val="ListParagraph"/>
        <w:numPr>
          <w:ilvl w:val="0"/>
          <w:numId w:val="2"/>
        </w:numPr>
        <w:spacing w:after="60"/>
      </w:pPr>
      <w:r>
        <w:rPr>
          <w:sz w:val="20"/>
          <w:szCs w:val="20"/>
        </w:rPr>
        <w:t xml:space="preserve">1. Rapprochement exact : employé d'un service de la même société, même nom et prénom, même date de naissance → statut « VALIDE », score 100.</w:t>
      </w:r>
    </w:p>
    <w:p>
      <w:pPr>
        <w:pStyle w:val="ListParagraph"/>
        <w:numPr>
          <w:ilvl w:val="0"/>
          <w:numId w:val="2"/>
        </w:numPr>
        <w:spacing w:after="60"/>
      </w:pPr>
      <w:r>
        <w:rPr>
          <w:sz w:val="20"/>
          <w:szCs w:val="20"/>
        </w:rPr>
        <w:t xml:space="preserve">2. Rapprochement partiel : même société, nom et prénom identiques après normalisation (majuscules, accents, espaces, tirets) mais date de naissance absente ou différente → statut « A_VERIFIER », score 70.</w:t>
      </w:r>
    </w:p>
    <w:p>
      <w:pPr>
        <w:pStyle w:val="ListParagraph"/>
        <w:numPr>
          <w:ilvl w:val="0"/>
          <w:numId w:val="2"/>
        </w:numPr>
        <w:spacing w:after="60"/>
      </w:pPr>
      <w:r>
        <w:rPr>
          <w:sz w:val="20"/>
          <w:szCs w:val="20"/>
        </w:rPr>
        <w:t xml:space="preserve">3. Aucun candidat ou plusieurs candidats (homonymes dans la même société) → statut « NON_RAPPROCHE » ou « AMBIGU » : la fiche reste dans la DSA et sera retentée au chargement suivant (l'employé a pu s'inscrire entre-temps) ; en attendant, le métier de l'employé vaut « non renseigné ».</w:t>
      </w:r>
    </w:p>
    <w:p>
      <w:pPr>
        <w:spacing w:after="40"/>
      </w:pPr>
      <w:r>
        <w:rPr>
          <w:rFonts w:ascii="Calibri" w:cs="Calibri" w:eastAsia="Calibri" w:hAnsi="Calibri"/>
          <w:b/>
          <w:bCs/>
          <w:sz w:val="20"/>
          <w:szCs w:val="20"/>
        </w:rPr>
        <w:t xml:space="preserve">Contrôles produits pour le service informatique de WorldMobility :</w:t>
      </w:r>
    </w:p>
    <w:p>
      <w:pPr>
        <w:pStyle w:val="ListParagraph"/>
        <w:numPr>
          <w:ilvl w:val="0"/>
          <w:numId w:val="2"/>
        </w:numPr>
        <w:spacing w:after="60"/>
      </w:pPr>
      <w:r>
        <w:rPr>
          <w:sz w:val="20"/>
          <w:szCs w:val="20"/>
        </w:rPr>
        <w:t xml:space="preserve">taux de rapprochement par société (objectif : plus de 95 % de « VALIDE ») ;</w:t>
      </w:r>
    </w:p>
    <w:p>
      <w:pPr>
        <w:pStyle w:val="ListParagraph"/>
        <w:numPr>
          <w:ilvl w:val="0"/>
          <w:numId w:val="2"/>
        </w:numPr>
        <w:spacing w:after="60"/>
      </w:pPr>
      <w:r>
        <w:rPr>
          <w:sz w:val="20"/>
          <w:szCs w:val="20"/>
        </w:rPr>
        <w:t xml:space="preserve">liste des cas « A_VERIFIER » et « AMBIGU » à valider manuellement, une validation manuelle passant le statut à « VALIDE » ;</w:t>
      </w:r>
    </w:p>
    <w:p>
      <w:pPr>
        <w:pStyle w:val="ListParagraph"/>
        <w:numPr>
          <w:ilvl w:val="0"/>
          <w:numId w:val="2"/>
        </w:numPr>
        <w:spacing w:after="60"/>
      </w:pPr>
      <w:r>
        <w:rPr>
          <w:sz w:val="20"/>
          <w:szCs w:val="20"/>
        </w:rPr>
        <w:t xml:space="preserve">détection des doublons : un même CodeE relié à deux matricules, ou un même matricule relié à deux CodeE (clé primaire (MatriculeSAL, NumEtab) et contrainte UNIQUE sur CodeE dans SALARIE_RH).</w:t>
      </w:r>
    </w:p>
    <w:p>
      <w:pPr>
        <w:spacing w:after="120"/>
      </w:pPr>
      <w:r>
        <w:rPr>
          <w:rFonts w:ascii="Calibri" w:cs="Calibri" w:eastAsia="Calibri" w:hAnsi="Calibri"/>
          <w:sz w:val="20"/>
          <w:szCs w:val="20"/>
        </w:rPr>
        <w:t xml:space="preserve">Seuls les salariés au statut « VALIDE » sont chargés dans l'ED : les autres restent dans la DSA jusqu'à leur validation, ce qui garantit que l'ED ne contient que des correspondances fiables. Une fois validée, la correspondance est reportée dans SALARIE_RH (colonne CodeE, obligatoire). La société d'un salarié se retrouve par le chemin SALARIE_RH → EMPLOYE → SERVICE → SOCIETE. En France, un contrôle supplémentaire est possible : les 9 premiers chiffres du SIRET forment le SIREN, c'est-à-dire le CodeSOC de l'ED, et l'on vérifie que SUBSTR(NumEtab, 1, 9) correspond bien à la société du service de l'employé rapproché. Ce contrôle n'existe pas en Allemagne, la Betriebsnummer ne contenant pas le numéro de la société. Les métiers successifs (EXERCER) restent rattachés à SALARIE_RH et sont reliés à l'employé MobiPass par SALARIE_RH.CodeE lors de l'alimentation du magasin Ventes.</w:t>
      </w:r>
    </w:p>
    <w:sectPr>
      <w:pgSz w:w="16838" w:h="11906" w:orient="landscape"/>
      <w:pgMar w:top="1000" w:right="1220" w:bottom="1000" w:left="12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200"/>
      <w:outlineLvl w:val="0"/>
    </w:pPr>
    <w:rPr>
      <w:rFonts w:ascii="Calibri" w:cs="Calibri" w:eastAsia="Calibri" w:hAnsi="Calibri"/>
      <w:b/>
      <w:bCs/>
      <w:color w:val="1F4E79"/>
      <w:sz w:val="32"/>
      <w:szCs w:val="32"/>
    </w:rPr>
  </w:style>
  <w:style w:type="paragraph" w:styleId="Heading2">
    <w:name w:val="Heading 2"/>
    <w:basedOn w:val="Normal"/>
    <w:next w:val="Normal"/>
    <w:pPr>
      <w:spacing w:after="120" w:before="280"/>
      <w:outlineLvl w:val="1"/>
    </w:pPr>
    <w:rPr>
      <w:rFonts w:ascii="Calibri" w:cs="Calibri" w:eastAsia="Calibri" w:hAnsi="Calibri"/>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2026-10-14T13:44:27.134Z</dcterms:created>
  <dcterms:modified xsi:type="dcterms:W3CDTF">2026-10-14T13:44:27.134Z</dcterms:modified>
</cp:coreProperties>
</file>

<file path=docProps/custom.xml><?xml version="1.0" encoding="utf-8"?>
<Properties xmlns="http://schemas.openxmlformats.org/officeDocument/2006/custom-properties" xmlns:vt="http://schemas.openxmlformats.org/officeDocument/2006/docPropsVTypes"/>
</file>