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1F3864"/>
          <w:sz w:val="56"/>
          <w:szCs w:val="56"/>
        </w:rPr>
        <w:t xml:space="preserve">MobiPass V2</w:t>
      </w:r>
    </w:p>
    <w:p>
      <w:pPr>
        <w:spacing w:after="400"/>
        <w:jc w:val="center"/>
      </w:pPr>
      <w:r>
        <w:rPr>
          <w:color w:val="1F3864"/>
          <w:sz w:val="36"/>
          <w:szCs w:val="36"/>
        </w:rPr>
        <w:t xml:space="preserve">Guide d'utilisation des outils d'analyse</w:t>
      </w:r>
    </w:p>
    <w:p>
      <w:pPr>
        <w:jc w:val="center"/>
      </w:pPr>
      <w:r>
        <w:rPr>
          <w:sz w:val="24"/>
          <w:szCs w:val="24"/>
        </w:rPr>
        <w:t xml:space="preserve">Rapports Power BI « Analyse des locations » et « Analyse des ventes »</w:t>
      </w:r>
    </w:p>
    <w:p>
      <w:pPr>
        <w:spacing w:after="900"/>
        <w:jc w:val="center"/>
      </w:pPr>
      <w:r>
        <w:rPr>
          <w:sz w:val="24"/>
          <w:szCs w:val="24"/>
        </w:rPr>
        <w:t xml:space="preserve">Magasins de données LOCATION_MD et ACHAT_MD (Oracle 11g)</w:t>
      </w:r>
    </w:p>
    <w:p>
      <w:pPr>
        <w:spacing w:after="160"/>
        <w:jc w:val="center"/>
      </w:pPr>
      <w:r>
        <w:rPr>
          <w:b/>
          <w:bCs/>
          <w:color w:val="1F3864"/>
          <w:sz w:val="30"/>
          <w:szCs w:val="30"/>
        </w:rPr>
        <w:t xml:space="preserve">NABHIS Consulting</w:t>
      </w:r>
    </w:p>
    <w:p>
      <w:pPr>
        <w:spacing w:after="40"/>
        <w:jc w:val="center"/>
      </w:pPr>
      <w:r>
        <w:rPr>
          <w:sz w:val="22"/>
          <w:szCs w:val="22"/>
        </w:rPr>
        <w:t xml:space="preserve">AKAKPO Alexandre</w:t>
      </w:r>
    </w:p>
    <w:p>
      <w:pPr>
        <w:spacing w:after="40"/>
        <w:jc w:val="center"/>
      </w:pPr>
      <w:r>
        <w:rPr>
          <w:sz w:val="22"/>
          <w:szCs w:val="22"/>
        </w:rPr>
        <w:t xml:space="preserve">CARRERE Sami</w:t>
      </w:r>
    </w:p>
    <w:p>
      <w:pPr>
        <w:spacing w:after="40"/>
        <w:jc w:val="center"/>
      </w:pPr>
      <w:r>
        <w:rPr>
          <w:sz w:val="22"/>
          <w:szCs w:val="22"/>
        </w:rPr>
        <w:t xml:space="preserve">EL CHERIAA Nader</w:t>
      </w:r>
    </w:p>
    <w:p>
      <w:pPr>
        <w:spacing w:after="40"/>
        <w:jc w:val="center"/>
      </w:pPr>
      <w:r>
        <w:rPr>
          <w:sz w:val="22"/>
          <w:szCs w:val="22"/>
        </w:rPr>
        <w:t xml:space="preserve">JAHID Hicham</w:t>
      </w:r>
    </w:p>
    <w:p>
      <w:pPr>
        <w:spacing w:after="40"/>
        <w:jc w:val="center"/>
      </w:pPr>
      <w:r>
        <w:rPr>
          <w:sz w:val="22"/>
          <w:szCs w:val="22"/>
        </w:rPr>
        <w:t xml:space="preserve">NDALA Brusny</w:t>
      </w:r>
    </w:p>
    <w:p>
      <w:pPr>
        <w:spacing w:after="700"/>
      </w:pPr>
    </w:p>
    <w:p>
      <w:pPr>
        <w:jc w:val="center"/>
      </w:pPr>
      <w:r>
        <w:rPr>
          <w:sz w:val="22"/>
          <w:szCs w:val="22"/>
        </w:rPr>
        <w:t xml:space="preserve">M2 MIAGE IDA, Université Toulouse Capitole</w:t>
      </w:r>
    </w:p>
    <w:p>
      <w:pPr>
        <w:jc w:val="center"/>
      </w:pPr>
      <w:r>
        <w:rPr>
          <w:sz w:val="22"/>
          <w:szCs w:val="22"/>
        </w:rPr>
        <w:t xml:space="preserve">Cours « Conception et développement de BD décisionnelles » (F. Ravat)</w:t>
      </w:r>
    </w:p>
    <w:p>
      <w:pPr>
        <w:jc w:val="center"/>
      </w:pPr>
      <w:r>
        <w:rPr>
          <w:sz w:val="22"/>
          <w:szCs w:val="22"/>
        </w:rPr>
        <w:t xml:space="preserve">Octobre 2026</w:t>
      </w:r>
    </w:p>
    <w:p>
      <w:r>
        <w:br w:type="page"/>
      </w:r>
    </w:p>
    <w:p>
      <w:pPr>
        <w:spacing w:after="200"/>
      </w:pPr>
      <w:r>
        <w:rPr>
          <w:b/>
          <w:bCs/>
          <w:color w:val="1F3864"/>
          <w:sz w:val="32"/>
          <w:szCs w:val="32"/>
        </w:rPr>
        <w:t xml:space="preserve">Sommaire</w:t>
      </w:r>
    </w:p>
    <w:p>
      <w:pPr>
        <w:spacing w:after="80"/>
        <w:ind w:left="300"/>
      </w:pPr>
      <w:r>
        <w:rPr>
          <w:sz w:val="22"/>
          <w:szCs w:val="22"/>
        </w:rPr>
        <w:t xml:space="preserve">1. À qui s'adresse ce guide</w:t>
      </w:r>
    </w:p>
    <w:p>
      <w:pPr>
        <w:spacing w:after="80"/>
        <w:ind w:left="300"/>
      </w:pPr>
      <w:r>
        <w:rPr>
          <w:sz w:val="22"/>
          <w:szCs w:val="22"/>
        </w:rPr>
        <w:t xml:space="preserve">2. Ouvrir et actualiser un rapport</w:t>
      </w:r>
    </w:p>
    <w:p>
      <w:pPr>
        <w:spacing w:after="80"/>
        <w:ind w:left="300"/>
      </w:pPr>
      <w:r>
        <w:rPr>
          <w:sz w:val="22"/>
          <w:szCs w:val="22"/>
        </w:rPr>
        <w:t xml:space="preserve">3. Les gestes de base dans Power BI</w:t>
      </w:r>
    </w:p>
    <w:p>
      <w:pPr>
        <w:spacing w:after="80"/>
        <w:ind w:left="300"/>
      </w:pPr>
      <w:r>
        <w:rPr>
          <w:sz w:val="22"/>
          <w:szCs w:val="22"/>
        </w:rPr>
        <w:t xml:space="preserve">4. Le rapport « Analyse des locations »</w:t>
      </w:r>
    </w:p>
    <w:p>
      <w:pPr>
        <w:spacing w:after="80"/>
        <w:ind w:left="300"/>
      </w:pPr>
      <w:r>
        <w:rPr>
          <w:sz w:val="22"/>
          <w:szCs w:val="22"/>
        </w:rPr>
        <w:t xml:space="preserve">5. Le rapport « Analyse des ventes »</w:t>
      </w:r>
    </w:p>
    <w:p>
      <w:pPr>
        <w:spacing w:after="80"/>
        <w:ind w:left="300"/>
      </w:pPr>
      <w:r>
        <w:rPr>
          <w:sz w:val="22"/>
          <w:szCs w:val="22"/>
        </w:rPr>
        <w:t xml:space="preserve">6. Quelle page pour quelle question ?</w:t>
      </w:r>
    </w:p>
    <w:p>
      <w:pPr>
        <w:spacing w:after="80"/>
        <w:ind w:left="300"/>
      </w:pPr>
      <w:r>
        <w:rPr>
          <w:sz w:val="22"/>
          <w:szCs w:val="22"/>
        </w:rPr>
        <w:t xml:space="preserve">7. En cas de problème</w:t>
      </w:r>
    </w:p>
    <w:p>
      <w:pPr>
        <w:spacing w:after="80"/>
        <w:ind w:left="300"/>
      </w:pPr>
      <w:r>
        <w:rPr>
          <w:sz w:val="22"/>
          <w:szCs w:val="22"/>
        </w:rPr>
        <w:t xml:space="preserve">Annexe : administration des magasins (service informatique)</w:t>
      </w:r>
    </w:p>
    <w:p>
      <w:pPr>
        <w:spacing w:before="300"/>
      </w:pPr>
      <w:r>
        <w:t xml:space="preserve">Les sections 1 à 7 s'adressent aux </w:t>
      </w:r>
      <w:r>
        <w:rPr>
          <w:b/>
          <w:bCs/>
        </w:rPr>
        <w:t xml:space="preserve">décideurs</w:t>
      </w:r>
      <w:r>
        <w:t xml:space="preserve"> (responsable des locations, responsables des ventes de Lyon et de Berlin). L'annexe s'adresse au </w:t>
      </w:r>
      <w:r>
        <w:rPr>
          <w:b/>
          <w:bCs/>
        </w:rPr>
        <w:t xml:space="preserve">service informatique</w:t>
      </w:r>
      <w:r>
        <w:t xml:space="preserve"> qui alimente l'entrepôt et rafraîchit les magasins.</w:t>
      </w:r>
    </w:p>
    <w:p>
      <w:r>
        <w:br w:type="page"/>
      </w:r>
    </w:p>
    <w:p>
      <w:pPr>
        <w:pStyle w:val="Heading1"/>
      </w:pPr>
      <w:r>
        <w:t xml:space="preserve">1. À qui s'adresse ce guide</w:t>
      </w:r>
    </w:p>
    <w:p>
      <w:pPr>
        <w:spacing w:after="120"/>
      </w:pPr>
      <w:r>
        <w:t xml:space="preserve">Ce guide explique comment ouvrir, actualiser et lire les deux rapports Power BI livrés avec le prototype MobiPass V2. Chaque rapport est branché sur un magasin de données de l'entrepôt Oracle.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2400"/>
        <w:gridCol w:w="2338"/>
      </w:tblGrid>
      <w:tr>
        <w:trPr>
          <w:tblHeader/>
        </w:trPr>
        <w:tc>
          <w:tcPr>
            <w:tcW w:type="dxa" w:w="23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Rapport</w:t>
            </w:r>
          </w:p>
        </w:tc>
        <w:tc>
          <w:tcPr>
            <w:tcW w:type="dxa" w:w="26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Fichier</w:t>
            </w:r>
          </w:p>
        </w:tc>
        <w:tc>
          <w:tcPr>
            <w:tcW w:type="dxa" w:w="24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Magasin interrogé</w:t>
            </w:r>
          </w:p>
        </w:tc>
        <w:tc>
          <w:tcPr>
            <w:tcW w:type="dxa" w:w="23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Destinataires</w:t>
            </w:r>
          </w:p>
        </w:tc>
      </w:tr>
      <w:tr>
        <w:tc>
          <w:tcPr>
            <w:tcW w:type="dxa" w:w="23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Analyse des locations</w:t>
            </w:r>
          </w:p>
        </w:tc>
        <w:tc>
          <w:tcPr>
            <w:tcW w:type="dxa" w:w="26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powerbi/TB Analyse Location.pbix</w:t>
            </w:r>
          </w:p>
        </w:tc>
        <w:tc>
          <w:tcPr>
            <w:tcW w:type="dxa" w:w="24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LOCATION_MD (tables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*_MD1</w:t>
            </w:r>
            <w:r>
              <w:t xml:space="preserve">)</w:t>
            </w:r>
          </w:p>
        </w:tc>
        <w:tc>
          <w:tcPr>
            <w:tcW w:type="dxa" w:w="23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Responsable des locations</w:t>
            </w:r>
          </w:p>
        </w:tc>
      </w:tr>
      <w:tr>
        <w:tc>
          <w:tcPr>
            <w:tcW w:type="dxa" w:w="23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Analyse des ventes</w:t>
            </w:r>
          </w:p>
        </w:tc>
        <w:tc>
          <w:tcPr>
            <w:tcW w:type="dxa" w:w="26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powerbi/TB Analyse Achats.pbix</w:t>
            </w:r>
          </w:p>
        </w:tc>
        <w:tc>
          <w:tcPr>
            <w:tcW w:type="dxa" w:w="24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ACHAT_MD (tables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*_MD2</w:t>
            </w:r>
            <w:r>
              <w:t xml:space="preserve">)</w:t>
            </w:r>
          </w:p>
        </w:tc>
        <w:tc>
          <w:tcPr>
            <w:tcW w:type="dxa" w:w="23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Responsables des ventes de Lyon (France) et de Berlin (Allemagne)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Les deux rapports suivent la même présentation : un bandeau bleu avec le titre de la page, des segments (filtres) à gauche et les graphiques au centre. Ce qui est expliqué pour l'un vaut donc pour l'autre.</w:t>
      </w:r>
    </w:p>
    <w:p>
      <w:pPr>
        <w:pStyle w:val="Heading2"/>
      </w:pPr>
      <w:r>
        <w:t xml:space="preserve">Ce que contiennent les données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données sont </w:t>
      </w:r>
      <w:r>
        <w:rPr>
          <w:b/>
          <w:bCs/>
        </w:rPr>
        <w:t xml:space="preserve">fictives</w:t>
      </w:r>
      <w:r>
        <w:t xml:space="preserve">, générées pour le prototype, mais respectent les règles de gestion de MobiPass (tarifs par pays, réductions par catégorie d'employé, gamme et année).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L'historique commence en </w:t>
      </w:r>
      <w:r>
        <w:rPr>
          <w:b/>
          <w:bCs/>
        </w:rPr>
        <w:t xml:space="preserve">octobre 2024</w:t>
      </w:r>
      <w:r>
        <w:t xml:space="preserve">. L'année 2024 ne compte donc que trois mois, ce qui explique des évolutions très fortes entre 2024 et 2025 dans les comparaisons annuelles.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</w:t>
      </w:r>
      <w:r>
        <w:rPr>
          <w:b/>
          <w:bCs/>
        </w:rPr>
        <w:t xml:space="preserve">montants réellement payés</w:t>
      </w:r>
      <w:r>
        <w:t xml:space="preserve"> tiennent compte des réductions accordées aux employés. Ils sont exprimés </w:t>
      </w:r>
      <w:r>
        <w:rPr>
          <w:b/>
          <w:bCs/>
        </w:rPr>
        <w:t xml:space="preserve">TTC</w:t>
      </w:r>
      <w:r>
        <w:t xml:space="preserve"> (c'est ce que l'employé dépense). Le </w:t>
      </w:r>
      <w:r>
        <w:rPr>
          <w:b/>
          <w:bCs/>
        </w:rPr>
        <w:t xml:space="preserve">bénéfice</w:t>
      </w:r>
      <w:r>
        <w:t xml:space="preserve"> est toujours </w:t>
      </w:r>
      <w:r>
        <w:rPr>
          <w:b/>
          <w:bCs/>
        </w:rPr>
        <w:t xml:space="preserve">HT</w:t>
      </w:r>
      <w:r>
        <w:t xml:space="preserve">, car la TVA est reversée à l'État.</w:t>
      </w:r>
    </w:p>
    <w:p>
      <w:pPr>
        <w:pStyle w:val="Heading1"/>
      </w:pPr>
      <w:r>
        <w:t xml:space="preserve">2. Ouvrir et actualiser un rapport</w:t>
      </w:r>
    </w:p>
    <w:p>
      <w:pPr>
        <w:pStyle w:val="Heading2"/>
      </w:pPr>
      <w:r>
        <w:t xml:space="preserve">Prérequis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Power BI Desktop</w:t>
      </w:r>
      <w:r>
        <w:t xml:space="preserve"> (version récente, sous Windows).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</w:t>
      </w:r>
      <w:r>
        <w:rPr>
          <w:b/>
          <w:bCs/>
        </w:rPr>
        <w:t xml:space="preserve">compte Oracle</w:t>
      </w:r>
      <w:r>
        <w:t xml:space="preserve"> sur le serveur de l'université, sur lequel les scripts de l'entrepôt et des magasins ont été exécutés (voir le dossier </w:t>
      </w:r>
      <w:r>
        <w:rPr>
          <w:rFonts w:ascii="Consolas" w:cs="Consolas" w:eastAsia="Consolas" w:hAnsi="Consolas"/>
          <w:sz w:val="19"/>
          <w:szCs w:val="19"/>
        </w:rPr>
        <w:t xml:space="preserve">sql/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accès réseau au serveur Oracle : depuis un poste de l'université, la connexion est directe ; depuis l'extérieur, il faut d'abord ouvrir le tunnel SSH fourni par l'université.</w:t>
      </w:r>
    </w:p>
    <w:p>
      <w:pPr>
        <w:pStyle w:val="Heading2"/>
      </w:pPr>
      <w:r>
        <w:t xml:space="preserve">Brancher le rapport sur votre schéma Oracle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Ouvrez le fichier </w:t>
      </w:r>
      <w:r>
        <w:rPr>
          <w:rFonts w:ascii="Consolas" w:cs="Consolas" w:eastAsia="Consolas" w:hAnsi="Consolas"/>
          <w:sz w:val="19"/>
          <w:szCs w:val="19"/>
        </w:rPr>
        <w:t xml:space="preserve">.pbix</w:t>
      </w:r>
      <w:r>
        <w:t xml:space="preserve"> dans Power BI Desktop.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Onglet </w:t>
      </w:r>
      <w:r>
        <w:rPr>
          <w:b/>
          <w:bCs/>
        </w:rPr>
        <w:t xml:space="preserve">Accueil</w:t>
      </w:r>
      <w:r>
        <w:t xml:space="preserve">, cliquez sur </w:t>
      </w:r>
      <w:r>
        <w:rPr>
          <w:b/>
          <w:bCs/>
        </w:rPr>
        <w:t xml:space="preserve">Transformer les données</w:t>
      </w:r>
      <w:r>
        <w:t xml:space="preserve">, puis sur </w:t>
      </w:r>
      <w:r>
        <w:rPr>
          <w:b/>
          <w:bCs/>
        </w:rPr>
        <w:t xml:space="preserve">Paramètres de la source de données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Sélectionnez la source Oracle, cliquez sur </w:t>
      </w:r>
      <w:r>
        <w:rPr>
          <w:b/>
          <w:bCs/>
        </w:rPr>
        <w:t xml:space="preserve">Changer la source</w:t>
      </w:r>
      <w:r>
        <w:t xml:space="preserve"> et saisissez le serveur : </w:t>
      </w:r>
      <w:r>
        <w:rPr>
          <w:rFonts w:ascii="Consolas" w:cs="Consolas" w:eastAsia="Consolas" w:hAnsi="Consolas"/>
          <w:sz w:val="19"/>
          <w:szCs w:val="19"/>
        </w:rPr>
        <w:t xml:space="preserve">etu-ora2.ut-capitole.fr:1550/siad</w:t>
      </w:r>
      <w:r>
        <w:t xml:space="preserve"> depuis l'université, ou </w:t>
      </w:r>
      <w:r>
        <w:rPr>
          <w:rFonts w:ascii="Consolas" w:cs="Consolas" w:eastAsia="Consolas" w:hAnsi="Consolas"/>
          <w:sz w:val="19"/>
          <w:szCs w:val="19"/>
        </w:rPr>
        <w:t xml:space="preserve">localhost:&lt;port&gt;/siad</w:t>
      </w:r>
      <w:r>
        <w:t xml:space="preserve"> à travers le tunnel SSH.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Cliquez sur </w:t>
      </w:r>
      <w:r>
        <w:rPr>
          <w:b/>
          <w:bCs/>
        </w:rPr>
        <w:t xml:space="preserve">Modifier les autorisations</w:t>
      </w:r>
      <w:r>
        <w:t xml:space="preserve">, puis </w:t>
      </w:r>
      <w:r>
        <w:rPr>
          <w:b/>
          <w:bCs/>
        </w:rPr>
        <w:t xml:space="preserve">Modifier</w:t>
      </w:r>
      <w:r>
        <w:t xml:space="preserve"> : choisissez le mode </w:t>
      </w:r>
      <w:r>
        <w:rPr>
          <w:b/>
          <w:bCs/>
        </w:rPr>
        <w:t xml:space="preserve">Base de données</w:t>
      </w:r>
      <w:r>
        <w:t xml:space="preserve"> et saisissez votre identifiant et votre mot de passe Oracle.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Fermez la fenêtre et cliquez sur </w:t>
      </w:r>
      <w:r>
        <w:rPr>
          <w:b/>
          <w:bCs/>
        </w:rPr>
        <w:t xml:space="preserve">Actualiser</w:t>
      </w:r>
      <w:r>
        <w:t xml:space="preserve"> (onglet Accueil). Les visuels se remplissent.</w:t>
      </w:r>
    </w:p>
    <w:p>
      <w:pPr>
        <w:pBdr>
          <w:left w:val="single" w:color="1F4E79" w:sz="18" w:space="6"/>
        </w:pBdr>
        <w:shd w:fill="DEEAF6" w:color="auto" w:val="clear"/>
        <w:spacing w:after="160" w:before="60"/>
        <w:ind w:left="120"/>
      </w:pPr>
      <w:r>
        <w:rPr>
          <w:b/>
          <w:bCs/>
        </w:rPr>
        <w:t xml:space="preserve">Sur un poste partagé</w:t>
      </w:r>
      <w:r>
        <w:t xml:space="preserve"> (salle de TP), effacez vos identifiants à la fin de la séance : </w:t>
      </w:r>
      <w:r>
        <w:rPr>
          <w:b/>
          <w:bCs/>
        </w:rPr>
        <w:t xml:space="preserve">Fichier → Options et paramètres → Paramètres de la source de données</w:t>
      </w:r>
      <w:r>
        <w:t xml:space="preserve">, sélectionnez la source, puis </w:t>
      </w:r>
      <w:r>
        <w:rPr>
          <w:b/>
          <w:bCs/>
        </w:rPr>
        <w:t xml:space="preserve">Effacer les autorisations</w:t>
      </w:r>
      <w:r>
        <w:t xml:space="preserve">.</w:t>
      </w:r>
    </w:p>
    <w:p>
      <w:pPr>
        <w:spacing w:after="120"/>
      </w:pPr>
      <w:r>
        <w:t xml:space="preserve">Si les chiffres semblent anciens, le service informatique doit d'abord rafraîchir les magasins dans Oracle (voir l'annexe).</w:t>
      </w:r>
    </w:p>
    <w:p>
      <w:pPr>
        <w:pStyle w:val="Heading1"/>
      </w:pPr>
      <w:r>
        <w:t xml:space="preserve">3. Les gestes de base dans Power BI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Pour…</w:t>
            </w:r>
          </w:p>
        </w:tc>
        <w:tc>
          <w:tcPr>
            <w:tcW w:type="dxa" w:w="66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Faites…</w:t>
            </w:r>
          </w:p>
        </w:tc>
      </w:tr>
      <w:tr>
        <w:tc>
          <w:tcPr>
            <w:tcW w:type="dxa" w:w="30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Filtrer avec un segment</w:t>
            </w:r>
          </w:p>
        </w:tc>
        <w:tc>
          <w:tcPr>
            <w:tcW w:type="dxa" w:w="66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Cliquez sur une valeur du segment (par exemple </w:t>
            </w:r>
            <w:r>
              <w:rPr>
                <w:b/>
                <w:bCs/>
              </w:rPr>
              <w:t xml:space="preserve">France</w:t>
            </w:r>
            <w:r>
              <w:t xml:space="preserve"> ou </w:t>
            </w:r>
            <w:r>
              <w:rPr>
                <w:b/>
                <w:bCs/>
              </w:rPr>
              <w:t xml:space="preserve">2026</w:t>
            </w:r>
            <w:r>
              <w:t xml:space="preserve">). Toute la page est filtrée.</w:t>
            </w:r>
          </w:p>
        </w:tc>
      </w:tr>
      <w:tr>
        <w:tc>
          <w:tcPr>
            <w:tcW w:type="dxa" w:w="30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Choisir plusieurs valeurs</w:t>
            </w:r>
          </w:p>
        </w:tc>
        <w:tc>
          <w:tcPr>
            <w:tcW w:type="dxa" w:w="66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Maintenez </w:t>
            </w:r>
            <w:r>
              <w:rPr>
                <w:b/>
                <w:bCs/>
              </w:rPr>
              <w:t xml:space="preserve">Ctrl</w:t>
            </w:r>
            <w:r>
              <w:t xml:space="preserve"> enfoncé en cliquant sur les valeurs (si le segment n'est pas en sélection unique).</w:t>
            </w:r>
          </w:p>
        </w:tc>
      </w:tr>
      <w:tr>
        <w:tc>
          <w:tcPr>
            <w:tcW w:type="dxa" w:w="30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Retirer un filtre</w:t>
            </w:r>
          </w:p>
        </w:tc>
        <w:tc>
          <w:tcPr>
            <w:tcW w:type="dxa" w:w="66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Cliquez sur la </w:t>
            </w:r>
            <w:r>
              <w:rPr>
                <w:b/>
                <w:bCs/>
              </w:rPr>
              <w:t xml:space="preserve">gomme</w:t>
            </w:r>
            <w:r>
              <w:t xml:space="preserve"> qui apparaît en haut à droite du segment au survol.</w:t>
            </w:r>
          </w:p>
        </w:tc>
      </w:tr>
      <w:tr>
        <w:tc>
          <w:tcPr>
            <w:tcW w:type="dxa" w:w="30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Filtrer depuis un graphique</w:t>
            </w:r>
          </w:p>
        </w:tc>
        <w:tc>
          <w:tcPr>
            <w:tcW w:type="dxa" w:w="66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Cliquez sur une barre : les autres visuels de la page se limitent à cette valeur. Cliquez à nouveau sur la barre (ou dans le vide) pour annuler.</w:t>
            </w:r>
          </w:p>
        </w:tc>
      </w:tr>
      <w:tr>
        <w:tc>
          <w:tcPr>
            <w:tcW w:type="dxa" w:w="30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Voir le détail d'un chiffre</w:t>
            </w:r>
          </w:p>
        </w:tc>
        <w:tc>
          <w:tcPr>
            <w:tcW w:type="dxa" w:w="66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Passez la souris sur une barre ou une cellule : une info-bulle affiche la valeur exacte.</w:t>
            </w:r>
          </w:p>
        </w:tc>
      </w:tr>
      <w:tr>
        <w:tc>
          <w:tcPr>
            <w:tcW w:type="dxa" w:w="30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Ouvrir les niveaux d'une matrice</w:t>
            </w:r>
          </w:p>
        </w:tc>
        <w:tc>
          <w:tcPr>
            <w:tcW w:type="dxa" w:w="66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Cliquez sur le </w:t>
            </w:r>
            <w:r>
              <w:rPr>
                <w:b/>
                <w:bCs/>
              </w:rPr>
              <w:t xml:space="preserve">+</w:t>
            </w:r>
            <w:r>
              <w:t xml:space="preserve"> devant une année pour afficher ses mois, ou utilisez les flèches en haut du visuel (</w:t>
            </w:r>
            <w:r>
              <w:rPr>
                <w:b/>
                <w:bCs/>
              </w:rPr>
              <w:t xml:space="preserve">Développer tout d'un niveau</w:t>
            </w:r>
            <w:r>
              <w:t xml:space="preserve">).</w:t>
            </w:r>
          </w:p>
        </w:tc>
      </w:tr>
      <w:tr>
        <w:tc>
          <w:tcPr>
            <w:tcW w:type="dxa" w:w="30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Descendre dans une hiérarchie</w:t>
            </w:r>
          </w:p>
        </w:tc>
        <w:tc>
          <w:tcPr>
            <w:tcW w:type="dxa" w:w="66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Sur un graphique avec plusieurs niveaux (secteur puis gamme, catégorie puis sous-catégorie), utilisez les flèches en haut du visuel.</w:t>
            </w:r>
          </w:p>
        </w:tc>
      </w:tr>
      <w:tr>
        <w:tc>
          <w:tcPr>
            <w:tcW w:type="dxa" w:w="30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Agrandir un visuel</w:t>
            </w:r>
          </w:p>
        </w:tc>
        <w:tc>
          <w:tcPr>
            <w:tcW w:type="dxa" w:w="66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Survolez-le et cliquez sur l'icône </w:t>
            </w:r>
            <w:r>
              <w:rPr>
                <w:b/>
                <w:bCs/>
              </w:rPr>
              <w:t xml:space="preserve">Mode Focus</w:t>
            </w:r>
            <w:r>
              <w:t xml:space="preserve"> ; </w:t>
            </w:r>
            <w:r>
              <w:rPr>
                <w:b/>
                <w:bCs/>
              </w:rPr>
              <w:t xml:space="preserve">Retour au rapport</w:t>
            </w:r>
            <w:r>
              <w:t xml:space="preserve"> pour revenir.</w:t>
            </w:r>
          </w:p>
        </w:tc>
      </w:tr>
      <w:tr>
        <w:tc>
          <w:tcPr>
            <w:tcW w:type="dxa" w:w="30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Récupérer les chiffres</w:t>
            </w:r>
          </w:p>
        </w:tc>
        <w:tc>
          <w:tcPr>
            <w:tcW w:type="dxa" w:w="66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Cliquez sur </w:t>
            </w:r>
            <w:r>
              <w:rPr>
                <w:b/>
                <w:bCs/>
              </w:rPr>
              <w:t xml:space="preserve">…</w:t>
            </w:r>
            <w:r>
              <w:t xml:space="preserve"> en haut du visuel, puis </w:t>
            </w:r>
            <w:r>
              <w:rPr>
                <w:b/>
                <w:bCs/>
              </w:rPr>
              <w:t xml:space="preserve">Exporter les données</w:t>
            </w:r>
            <w:r>
              <w:t xml:space="preserve"> (fichier CSV ou Excel).</w:t>
            </w:r>
          </w:p>
        </w:tc>
      </w:tr>
      <w:tr>
        <w:tc>
          <w:tcPr>
            <w:tcW w:type="dxa" w:w="30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Changer de page</w:t>
            </w:r>
          </w:p>
        </w:tc>
        <w:tc>
          <w:tcPr>
            <w:tcW w:type="dxa" w:w="66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Utilisez les onglets en bas de l'écran.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Le rapport « Analyse des locations »</w:t>
      </w:r>
    </w:p>
    <w:p>
      <w:pPr>
        <w:spacing w:after="120"/>
      </w:pPr>
      <w:r>
        <w:t xml:space="preserve">Fichier </w:t>
      </w:r>
      <w:r>
        <w:rPr>
          <w:rFonts w:ascii="Consolas" w:cs="Consolas" w:eastAsia="Consolas" w:hAnsi="Consolas"/>
          <w:sz w:val="19"/>
          <w:szCs w:val="19"/>
        </w:rPr>
        <w:t xml:space="preserve">powerbi/TB Analyse Location.pbix</w:t>
      </w:r>
      <w:r>
        <w:t xml:space="preserve">. Il répond aux besoins du responsable des locations : durées, montants au prix public et montants réellement payés, par semaine, mois et année, selon les exemplaires et les employés.</w:t>
      </w:r>
    </w:p>
    <w:p>
      <w:pPr>
        <w:spacing w:after="120"/>
      </w:pPr>
      <w:r>
        <w:t xml:space="preserve">Les trois premières pages interrogent directement les </w:t>
      </w:r>
      <w:r>
        <w:rPr>
          <w:b/>
          <w:bCs/>
        </w:rPr>
        <w:t xml:space="preserve">agrégats</w:t>
      </w:r>
      <w:r>
        <w:t xml:space="preserve"> (vues matérialisées du treillis), les deux dernières interrogent le </w:t>
      </w:r>
      <w:r>
        <w:rPr>
          <w:b/>
          <w:bCs/>
        </w:rPr>
        <w:t xml:space="preserve">fait détaillé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LOCATION_MD1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2700"/>
        <w:gridCol w:w="1938"/>
      </w:tblGrid>
      <w:tr>
        <w:trPr>
          <w:tblHeader/>
        </w:trPr>
        <w:tc>
          <w:tcPr>
            <w:tcW w:type="dxa" w:w="17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Page</w:t>
            </w:r>
          </w:p>
        </w:tc>
        <w:tc>
          <w:tcPr>
            <w:tcW w:type="dxa" w:w="33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Question à laquelle elle répond</w:t>
            </w:r>
          </w:p>
        </w:tc>
        <w:tc>
          <w:tcPr>
            <w:tcW w:type="dxa" w:w="27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Contenu</w:t>
            </w:r>
          </w:p>
        </w:tc>
        <w:tc>
          <w:tcPr>
            <w:tcW w:type="dxa" w:w="19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17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Analyse 1</w:t>
            </w:r>
          </w:p>
        </w:tc>
        <w:tc>
          <w:tcPr>
            <w:tcW w:type="dxa" w:w="33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Combien chaque société a-t-elle réellement payé en locations, mois par mois ?</w:t>
            </w:r>
          </w:p>
        </w:tc>
        <w:tc>
          <w:tcPr>
            <w:tcW w:type="dxa" w:w="27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Matrice : type de société puis société en lignes, mois en colonnes ; segment Année</w:t>
            </w:r>
          </w:p>
        </w:tc>
        <w:tc>
          <w:tcPr>
            <w:tcW w:type="dxa" w:w="19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AGG_MOIS_SOCIETE_MD1</w:t>
            </w:r>
          </w:p>
        </w:tc>
      </w:tr>
      <w:tr>
        <w:tc>
          <w:tcPr>
            <w:tcW w:type="dxa" w:w="17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Analyse 2</w:t>
            </w:r>
          </w:p>
        </w:tc>
        <w:tc>
          <w:tcPr>
            <w:tcW w:type="dxa" w:w="33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Combien chaque salarié a-t-il payé, et combien de temps a-t-il loué, chaque semaine ?</w:t>
            </w:r>
          </w:p>
        </w:tc>
        <w:tc>
          <w:tcPr>
            <w:tcW w:type="dxa" w:w="27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Matrice : nom et prénom en lignes, semaines en colonnes, montant payé et durée ; segment Année</w:t>
            </w:r>
          </w:p>
        </w:tc>
        <w:tc>
          <w:tcPr>
            <w:tcW w:type="dxa" w:w="19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AGG_SEM_EMPLOYE_MD1</w:t>
            </w:r>
          </w:p>
        </w:tc>
      </w:tr>
      <w:tr>
        <w:tc>
          <w:tcPr>
            <w:tcW w:type="dxa" w:w="17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Analyse 3</w:t>
            </w:r>
          </w:p>
        </w:tc>
        <w:tc>
          <w:tcPr>
            <w:tcW w:type="dxa" w:w="33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Quelle est la durée de location par région française ou par Land allemand, mois par mois ?</w:t>
            </w:r>
          </w:p>
        </w:tc>
        <w:tc>
          <w:tcPr>
            <w:tcW w:type="dxa" w:w="27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Matrice : pays puis région / Land en lignes, mois en colonnes ; segment Année</w:t>
            </w:r>
          </w:p>
        </w:tc>
        <w:tc>
          <w:tcPr>
            <w:tcW w:type="dxa" w:w="19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AGG_MOIS_REGION_MD1</w:t>
            </w:r>
          </w:p>
        </w:tc>
      </w:tr>
      <w:tr>
        <w:tc>
          <w:tcPr>
            <w:tcW w:type="dxa" w:w="17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Synthèse 1</w:t>
            </w:r>
          </w:p>
        </w:tc>
        <w:tc>
          <w:tcPr>
            <w:tcW w:type="dxa" w:w="33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Vue d'ensemble : évolution, marques, secteurs et territoires</w:t>
            </w:r>
          </w:p>
        </w:tc>
        <w:tc>
          <w:tcPr>
            <w:tcW w:type="dxa" w:w="27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Graphique combiné par semaine (durée, montant au prix public, montant payé) ; montant par marque ; carte par région ; montant par secteur puis gamme ; segments Année, Pays, Société</w:t>
            </w:r>
          </w:p>
        </w:tc>
        <w:tc>
          <w:tcPr>
            <w:tcW w:type="dxa" w:w="19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LOCATION_MD1</w:t>
            </w:r>
          </w:p>
        </w:tc>
      </w:tr>
      <w:tr>
        <w:tc>
          <w:tcPr>
            <w:tcW w:type="dxa" w:w="17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Synthèse 2</w:t>
            </w:r>
          </w:p>
        </w:tc>
        <w:tc>
          <w:tcPr>
            <w:tcW w:type="dxa" w:w="33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Comment évoluent les locations par rapport à l'année précédente ?</w:t>
            </w:r>
          </w:p>
        </w:tc>
        <w:tc>
          <w:tcPr>
            <w:tcW w:type="dxa" w:w="27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Matrice année / mois avec comparaison N / N-1 ; montant par catégorie d'employé et par société / service ; segments montant affiché, type de société, gamme, marque</w:t>
            </w:r>
          </w:p>
        </w:tc>
        <w:tc>
          <w:tcPr>
            <w:tcW w:type="dxa" w:w="19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LOCATION_MD1</w:t>
            </w:r>
          </w:p>
        </w:tc>
      </w:tr>
    </w:tbl>
    <w:p>
      <w:pPr>
        <w:spacing w:after="12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409950"/>
            <wp:effectExtent t="0" r="0" b="0" l="0"/>
            <wp:docPr id="1" name="loc-1.png" descr="Locations, page Analyse 1 : montants payés par type de société et société, mois par mois (2026)" title="Locations, page Analyse 1 : montants payés par type de société et société, mois par mois (202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F7F7F"/>
          <w:sz w:val="18"/>
          <w:szCs w:val="18"/>
        </w:rPr>
        <w:t xml:space="preserve">Locations, page Analyse 1 : montants payés par type de société et société, mois par mois (2026)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409950"/>
            <wp:effectExtent t="0" r="0" b="0" l="0"/>
            <wp:docPr id="1" name="loc-2.png" descr="Locations, page Analyse 2 : montants payés et durées par salarié, semaine par semaine" title="Locations, page Analyse 2 : montants payés et durées par salarié, semaine par sema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F7F7F"/>
          <w:sz w:val="18"/>
          <w:szCs w:val="18"/>
        </w:rPr>
        <w:t xml:space="preserve">Locations, page Analyse 2 : montants payés et durées par salarié, semaine par semaine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409950"/>
            <wp:effectExtent t="0" r="0" b="0" l="0"/>
            <wp:docPr id="1" name="loc-3.png" descr="Locations, page Analyse 3 : durées mensuelles par région française et par Land allemand" title="Locations, page Analyse 3 : durées mensuelles par région française et par Land alle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F7F7F"/>
          <w:sz w:val="18"/>
          <w:szCs w:val="18"/>
        </w:rPr>
        <w:t xml:space="preserve">Locations, page Analyse 3 : durées mensuelles par région française et par Land allemand</w:t>
      </w:r>
    </w:p>
    <w:p>
      <w:pPr>
        <w:pStyle w:val="Heading2"/>
      </w:pPr>
      <w:r>
        <w:t xml:space="preserve">Lire les pages d'analyse (1 à 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Choisissez d'abord l'</w:t>
      </w:r>
      <w:r>
        <w:rPr>
          <w:b/>
          <w:bCs/>
        </w:rPr>
        <w:t xml:space="preserve">année</w:t>
      </w:r>
      <w:r>
        <w:t xml:space="preserve"> dans le segment : sans choix, les mois des différentes années sont additionnés.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semaines sont des </w:t>
      </w:r>
      <w:r>
        <w:rPr>
          <w:b/>
          <w:bCs/>
        </w:rPr>
        <w:t xml:space="preserve">semaines ISO</w:t>
      </w:r>
      <w:r>
        <w:t xml:space="preserve"> (du lundi au dimanche). Une semaine peut donc chevaucher deux mois : c'est pour cela que l'agrégat hebdomadaire et l'agrégat mensuel sont calculés séparément.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Sur la page Analyse 3, une ligne vide pour un Land signifie qu'aucune location n'y a eu lieu ce mois-là.</w:t>
      </w:r>
    </w:p>
    <w:p>
      <w:pPr>
        <w:pStyle w:val="Heading2"/>
      </w:pPr>
      <w:r>
        <w:t xml:space="preserve">Lire les pages de synthèse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Synthèse 1</w:t>
      </w:r>
      <w:r>
        <w:t xml:space="preserve"> : le graphique du haut met en regard la durée totale (colonnes) et les montants (courbes) semaine par semaine. L'écart entre « montant au prix public » et « montant réellement payé » représente les réductions accordées.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Synthèse 1</w:t>
      </w:r>
      <w:r>
        <w:t xml:space="preserve"> : la carte place chaque région ou Land selon son montant de location ; survolez une bulle pour lire la valeur.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Synthèse 2</w:t>
      </w:r>
      <w:r>
        <w:t xml:space="preserve"> : le segment de gauche choisit le montant affiché. La matrice donne, pour chaque mois, la valeur de l'année, celle de l'année précédente et l'écart.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Synthèse 2</w:t>
      </w:r>
      <w:r>
        <w:t xml:space="preserve"> : les segments Type de société, Gamme et Marque sont hiérarchiques ; cliquez sur la flèche devant une valeur pour descendre jusqu'à la société ou au produit.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409950"/>
            <wp:effectExtent t="0" r="0" b="0" l="0"/>
            <wp:docPr id="1" name="loc-4.png" descr="Locations, page Synthèse 1 : vue d'ensemble par semaine, marque, secteur et région" title="Locations, page Synthèse 1 : vue d'ensemble par semaine, marque, secteur et rég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F7F7F"/>
          <w:sz w:val="18"/>
          <w:szCs w:val="18"/>
        </w:rPr>
        <w:t xml:space="preserve">Locations, page Synthèse 1 : vue d'ensemble par semaine, marque, secteur et région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409950"/>
            <wp:effectExtent t="0" r="0" b="0" l="0"/>
            <wp:docPr id="1" name="loc-5.png" descr="Locations, page Synthèse 2 : comparaison N / N-1 et répartition par catégorie et par société" title="Locations, page Synthèse 2 : comparaison N / N-1 et répartition par catégorie et par sociét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F7F7F"/>
          <w:sz w:val="18"/>
          <w:szCs w:val="18"/>
        </w:rPr>
        <w:t xml:space="preserve">Locations, page Synthèse 2 : comparaison N / N-1 et répartition par catégorie et par société</w:t>
      </w:r>
    </w:p>
    <w:p>
      <w:pPr>
        <w:pStyle w:val="Heading1"/>
      </w:pPr>
      <w:r>
        <w:t xml:space="preserve">5. Le rapport « Analyse des ventes »</w:t>
      </w:r>
    </w:p>
    <w:p>
      <w:pPr>
        <w:spacing w:after="120"/>
      </w:pPr>
      <w:r>
        <w:t xml:space="preserve">Fichier </w:t>
      </w:r>
      <w:r>
        <w:rPr>
          <w:rFonts w:ascii="Consolas" w:cs="Consolas" w:eastAsia="Consolas" w:hAnsi="Consolas"/>
          <w:sz w:val="19"/>
          <w:szCs w:val="19"/>
        </w:rPr>
        <w:t xml:space="preserve">powerbi/TB Analyse Achats.pbix</w:t>
      </w:r>
      <w:r>
        <w:t xml:space="preserve">. Il répond aux besoins des deux responsables des ventes : analyser les achats par jour, mois et année, selon les produits et les employés (et donc leur société), et repérer les gammes les plus adaptées à chaque territoire.</w:t>
      </w:r>
    </w:p>
    <w:p>
      <w:pPr>
        <w:spacing w:after="120"/>
      </w:pPr>
      <w:r>
        <w:t xml:space="preserve">Le rapport compte </w:t>
      </w:r>
      <w:r>
        <w:rPr>
          <w:b/>
          <w:bCs/>
        </w:rPr>
        <w:t xml:space="preserve">trois pages</w:t>
      </w:r>
      <w:r>
        <w:t xml:space="preserve">. Les deux premières interrogent le fait détaillé </w:t>
      </w:r>
      <w:r>
        <w:rPr>
          <w:rFonts w:ascii="Consolas" w:cs="Consolas" w:eastAsia="Consolas" w:hAnsi="Consolas"/>
          <w:sz w:val="19"/>
          <w:szCs w:val="19"/>
        </w:rPr>
        <w:t xml:space="preserve">ACHAT_MD2</w:t>
      </w:r>
      <w:r>
        <w:t xml:space="preserve"> et ses dimensions ; la troisième interroge directement les </w:t>
      </w:r>
      <w:r>
        <w:rPr>
          <w:b/>
          <w:bCs/>
        </w:rPr>
        <w:t xml:space="preserve">trois agrégats</w:t>
      </w:r>
      <w:r>
        <w:t xml:space="preserve"> du treillis (vues matérialisées).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00"/>
        <w:gridCol w:w="3038"/>
      </w:tblGrid>
      <w:tr>
        <w:trPr>
          <w:tblHeader/>
        </w:trPr>
        <w:tc>
          <w:tcPr>
            <w:tcW w:type="dxa" w:w="23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Page</w:t>
            </w:r>
          </w:p>
        </w:tc>
        <w:tc>
          <w:tcPr>
            <w:tcW w:type="dxa" w:w="43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Question à laquelle elle répond</w:t>
            </w:r>
          </w:p>
        </w:tc>
        <w:tc>
          <w:tcPr>
            <w:tcW w:type="dxa" w:w="30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23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Analyse des ventes</w:t>
            </w:r>
          </w:p>
        </w:tc>
        <w:tc>
          <w:tcPr>
            <w:tcW w:type="dxa" w:w="43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Que vend-on, où, et comment les ventes évoluent-elles mois par mois ?</w:t>
            </w:r>
          </w:p>
        </w:tc>
        <w:tc>
          <w:tcPr>
            <w:tcW w:type="dxa" w:w="30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ACHAT_MD2</w:t>
            </w:r>
            <w:r>
              <w:t xml:space="preserve"> et dimensions</w:t>
            </w:r>
          </w:p>
        </w:tc>
      </w:tr>
      <w:tr>
        <w:tc>
          <w:tcPr>
            <w:tcW w:type="dxa" w:w="23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Comparaison annuelle</w:t>
            </w:r>
          </w:p>
        </w:tc>
        <w:tc>
          <w:tcPr>
            <w:tcW w:type="dxa" w:w="43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Les ventes progressent-elles par rapport à l'année précédente ?</w:t>
            </w:r>
          </w:p>
        </w:tc>
        <w:tc>
          <w:tcPr>
            <w:tcW w:type="dxa" w:w="30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ACHAT_MD2</w:t>
            </w:r>
            <w:r>
              <w:t xml:space="preserve"> et dimensions</w:t>
            </w:r>
          </w:p>
        </w:tc>
      </w:tr>
      <w:tr>
        <w:tc>
          <w:tcPr>
            <w:tcW w:type="dxa" w:w="23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Agrégats</w:t>
            </w:r>
          </w:p>
        </w:tc>
        <w:tc>
          <w:tcPr>
            <w:tcW w:type="dxa" w:w="43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Évolution par pays, gammes par territoire, types et catégories juridiques des sociétés clientes</w:t>
            </w:r>
          </w:p>
        </w:tc>
        <w:tc>
          <w:tcPr>
            <w:tcW w:type="dxa" w:w="30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MV_ACH_PAYS_MOIS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MV_ACH_GAM_REG_MOIS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MV_ACH_TYPE_CJ_MOIS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Les indicateurs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2438"/>
      </w:tblGrid>
      <w:tr>
        <w:trPr>
          <w:tblHeader/>
        </w:trPr>
        <w:tc>
          <w:tcPr>
            <w:tcW w:type="dxa" w:w="26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Indicateur</w:t>
            </w:r>
          </w:p>
        </w:tc>
        <w:tc>
          <w:tcPr>
            <w:tcW w:type="dxa" w:w="46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Définition</w:t>
            </w:r>
          </w:p>
        </w:tc>
        <w:tc>
          <w:tcPr>
            <w:tcW w:type="dxa" w:w="24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Unité</w:t>
            </w:r>
          </w:p>
        </w:tc>
      </w:tr>
      <w:tr>
        <w:tc>
          <w:tcPr>
            <w:tcW w:type="dxa" w:w="26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Quantité</w:t>
            </w:r>
          </w:p>
        </w:tc>
        <w:tc>
          <w:tcPr>
            <w:tcW w:type="dxa" w:w="46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Nombre d'articles achetés</w:t>
            </w:r>
          </w:p>
        </w:tc>
        <w:tc>
          <w:tcPr>
            <w:tcW w:type="dxa" w:w="24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articles</w:t>
            </w:r>
          </w:p>
        </w:tc>
      </w:tr>
      <w:tr>
        <w:tc>
          <w:tcPr>
            <w:tcW w:type="dxa" w:w="26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Montant réel payé</w:t>
            </w:r>
          </w:p>
        </w:tc>
        <w:tc>
          <w:tcPr>
            <w:tcW w:type="dxa" w:w="46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Ce que les employés ont réellement payé, réductions déduites</w:t>
            </w:r>
          </w:p>
        </w:tc>
        <w:tc>
          <w:tcPr>
            <w:tcW w:type="dxa" w:w="24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€ TTC</w:t>
            </w:r>
          </w:p>
        </w:tc>
      </w:tr>
      <w:tr>
        <w:tc>
          <w:tcPr>
            <w:tcW w:type="dxa" w:w="26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Montant réel payé HT</w:t>
            </w:r>
          </w:p>
        </w:tc>
        <w:tc>
          <w:tcPr>
            <w:tcW w:type="dxa" w:w="46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Le même montant hors taxes, calculé avec le taux de TVA du pays de la société de l'employé (20 % en France, 19 % en Allemagne)</w:t>
            </w:r>
          </w:p>
        </w:tc>
        <w:tc>
          <w:tcPr>
            <w:tcW w:type="dxa" w:w="24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€ HT</w:t>
            </w:r>
          </w:p>
        </w:tc>
      </w:tr>
      <w:tr>
        <w:tc>
          <w:tcPr>
            <w:tcW w:type="dxa" w:w="26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Bénéfice HT</w:t>
            </w:r>
          </w:p>
        </w:tc>
        <w:tc>
          <w:tcPr>
            <w:tcW w:type="dxa" w:w="46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Montant au prix public HT moins montant réellement payé HT</w:t>
            </w:r>
          </w:p>
        </w:tc>
        <w:tc>
          <w:tcPr>
            <w:tcW w:type="dxa" w:w="24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€ HT</w:t>
            </w:r>
          </w:p>
        </w:tc>
      </w:tr>
      <w:tr>
        <w:tc>
          <w:tcPr>
            <w:tcW w:type="dxa" w:w="26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Montant payé (AGG1), (AGG2), (AGG3)</w:t>
            </w:r>
          </w:p>
        </w:tc>
        <w:tc>
          <w:tcPr>
            <w:tcW w:type="dxa" w:w="46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Montant réellement payé, lu dans chacun des trois agrégats (page Agrégats). Le total est identique à celui du Montant réel payé : c'est le contrôle de cohérence du treillis.</w:t>
            </w:r>
          </w:p>
        </w:tc>
        <w:tc>
          <w:tcPr>
            <w:tcW w:type="dxa" w:w="24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€ TTC</w:t>
            </w:r>
          </w:p>
        </w:tc>
      </w:tr>
    </w:tbl>
    <w:p>
      <w:pPr>
        <w:spacing w:after="120"/>
      </w:pPr>
    </w:p>
    <w:p>
      <w:pPr>
        <w:pBdr>
          <w:left w:val="single" w:color="1F4E79" w:sz="18" w:space="6"/>
        </w:pBdr>
        <w:shd w:fill="DEEAF6" w:color="auto" w:val="clear"/>
        <w:spacing w:after="160" w:before="60"/>
        <w:ind w:left="120"/>
      </w:pPr>
      <w:r>
        <w:rPr>
          <w:b/>
          <w:bCs/>
        </w:rPr>
        <w:t xml:space="preserve">Pourquoi deux montants payés ?</w:t>
      </w:r>
      <w:r>
        <w:t xml:space="preserve"> Les tarifs français sont exprimés TTC et les tarifs allemands HT. Pour comparer la France et l'Allemagne sur une base commune, utilisez le </w:t>
      </w:r>
      <w:r>
        <w:rPr>
          <w:b/>
          <w:bCs/>
        </w:rPr>
        <w:t xml:space="preserve">Montant réel payé HT</w:t>
      </w:r>
      <w:r>
        <w:t xml:space="preserve">. Le montant TTC reste disponible, comme le client l'a demandé lors de l'entretien du 14/10.</w:t>
      </w:r>
    </w:p>
    <w:p>
      <w:pPr>
        <w:spacing w:after="120"/>
      </w:pPr>
      <w:r>
        <w:t xml:space="preserve">Les colonnes du modèle portent des noms lisibles (</w:t>
      </w:r>
      <w:r>
        <w:rPr>
          <w:b/>
          <w:bCs/>
        </w:rPr>
        <w:t xml:space="preserve">Gamme</w:t>
      </w:r>
      <w:r>
        <w:t xml:space="preserve">, </w:t>
      </w:r>
      <w:r>
        <w:rPr>
          <w:b/>
          <w:bCs/>
        </w:rPr>
        <w:t xml:space="preserve">Secteur</w:t>
      </w:r>
      <w:r>
        <w:t xml:space="preserve">, </w:t>
      </w:r>
      <w:r>
        <w:rPr>
          <w:b/>
          <w:bCs/>
        </w:rPr>
        <w:t xml:space="preserve">Pays</w:t>
      </w:r>
      <w:r>
        <w:t xml:space="preserve">, </w:t>
      </w:r>
      <w:r>
        <w:rPr>
          <w:b/>
          <w:bCs/>
        </w:rPr>
        <w:t xml:space="preserve">Société</w:t>
      </w:r>
      <w:r>
        <w:t xml:space="preserve">, </w:t>
      </w:r>
      <w:r>
        <w:rPr>
          <w:b/>
          <w:bCs/>
        </w:rPr>
        <w:t xml:space="preserve">Type de société</w:t>
      </w:r>
      <w:r>
        <w:t xml:space="preserve">, </w:t>
      </w:r>
      <w:r>
        <w:rPr>
          <w:b/>
          <w:bCs/>
        </w:rPr>
        <w:t xml:space="preserve">Région / Land</w:t>
      </w:r>
      <w:r>
        <w:t xml:space="preserve">, </w:t>
      </w:r>
      <w:r>
        <w:rPr>
          <w:b/>
          <w:bCs/>
        </w:rPr>
        <w:t xml:space="preserve">Année</w:t>
      </w:r>
      <w:r>
        <w:t xml:space="preserve">, </w:t>
      </w:r>
      <w:r>
        <w:rPr>
          <w:b/>
          <w:bCs/>
        </w:rPr>
        <w:t xml:space="preserve">Mois</w:t>
      </w:r>
      <w:r>
        <w:t xml:space="preserve">, </w:t>
      </w:r>
      <w:r>
        <w:rPr>
          <w:b/>
          <w:bCs/>
        </w:rPr>
        <w:t xml:space="preserve">Catégorie juridique</w:t>
      </w:r>
      <w:r>
        <w:t xml:space="preserve">) : ce sont ces noms qui apparaissent dans les segments, les titres et les info-bulles.</w:t>
      </w:r>
    </w:p>
    <w:p>
      <w:pPr>
        <w:pStyle w:val="Heading2"/>
      </w:pPr>
      <w:r>
        <w:t xml:space="preserve">Page « Analyse des ventes »</w:t>
      </w:r>
    </w:p>
    <w:p>
      <w:pPr>
        <w:spacing w:after="120"/>
      </w:pPr>
      <w:r>
        <w:t xml:space="preserve">Vue d'ensemble des ventes. Les segments </w:t>
      </w:r>
      <w:r>
        <w:rPr>
          <w:b/>
          <w:bCs/>
        </w:rPr>
        <w:t xml:space="preserve">Pays</w:t>
      </w:r>
      <w:r>
        <w:t xml:space="preserve">, </w:t>
      </w:r>
      <w:r>
        <w:rPr>
          <w:b/>
          <w:bCs/>
        </w:rPr>
        <w:t xml:space="preserve">Année</w:t>
      </w:r>
      <w:r>
        <w:t xml:space="preserve"> et </w:t>
      </w:r>
      <w:r>
        <w:rPr>
          <w:b/>
          <w:bCs/>
        </w:rPr>
        <w:t xml:space="preserve">Société</w:t>
      </w:r>
      <w:r>
        <w:t xml:space="preserve"> à gauche filtrent toute la page.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Visuel</w:t>
            </w:r>
          </w:p>
        </w:tc>
        <w:tc>
          <w:tcPr>
            <w:tcW w:type="dxa" w:w="63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Ce qu'il montre</w:t>
            </w:r>
          </w:p>
        </w:tc>
      </w:tr>
      <w:tr>
        <w:tc>
          <w:tcPr>
            <w:tcW w:type="dxa" w:w="33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Montant réel payé par gamme</w:t>
            </w:r>
          </w:p>
        </w:tc>
        <w:tc>
          <w:tcPr>
            <w:tcW w:type="dxa" w:w="63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Le classement des gammes de produits, de la plus vendue à la moins vendue.</w:t>
            </w:r>
          </w:p>
        </w:tc>
      </w:tr>
      <w:tr>
        <w:tc>
          <w:tcPr>
            <w:tcW w:type="dxa" w:w="33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Montant réel payé par secteur</w:t>
            </w:r>
          </w:p>
        </w:tc>
        <w:tc>
          <w:tcPr>
            <w:tcW w:type="dxa" w:w="63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 répartition des ventes entre les grands secteurs (vélos, micromobilité, équipement du cycliste, services).</w:t>
            </w:r>
          </w:p>
        </w:tc>
      </w:tr>
      <w:tr>
        <w:tc>
          <w:tcPr>
            <w:tcW w:type="dxa" w:w="33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Montant réel payé par région / Land</w:t>
            </w:r>
          </w:p>
        </w:tc>
        <w:tc>
          <w:tcPr>
            <w:tcW w:type="dxa" w:w="63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Le classement des territoires. Régions françaises et Länder allemands sont réunis sur le même axe pour être comparables.</w:t>
            </w:r>
          </w:p>
        </w:tc>
      </w:tr>
      <w:tr>
        <w:tc>
          <w:tcPr>
            <w:tcW w:type="dxa" w:w="33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Quantité, bénéfice et montant par mois</w:t>
            </w:r>
          </w:p>
        </w:tc>
        <w:tc>
          <w:tcPr>
            <w:tcW w:type="dxa" w:w="63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L'évolution mois par mois, d'octobre 2024 à octobre 2026 : quantités en colonnes, montant payé et bénéfice en courbes. On y lit la saisonnalité (pic au printemps et en été).</w:t>
            </w:r>
          </w:p>
        </w:tc>
      </w:tr>
    </w:tbl>
    <w:p>
      <w:pPr>
        <w:spacing w:after="12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409950"/>
            <wp:effectExtent t="0" r="0" b="0" l="0"/>
            <wp:docPr id="1" name="ventes-1.png" descr="Ventes, page Analyse des ventes" title="Ventes, page Analyse des v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F7F7F"/>
          <w:sz w:val="18"/>
          <w:szCs w:val="18"/>
        </w:rPr>
        <w:t xml:space="preserve">Ventes, page Analyse des ventes</w:t>
      </w:r>
    </w:p>
    <w:p>
      <w:pPr>
        <w:spacing w:after="120"/>
      </w:pPr>
      <w:r>
        <w:rPr>
          <w:b/>
          <w:bCs/>
        </w:rPr>
        <w:t xml:space="preserve">Trouver les gammes adaptées à un territoire</w:t>
      </w:r>
      <w:r>
        <w:t xml:space="preserve"> : cliquez sur une région dans le graphique « par région / Land » ; le graphique des gammes se limite aussitôt à ce territoire et affiche ses gammes les plus vendues.</w:t>
      </w:r>
    </w:p>
    <w:p>
      <w:pPr>
        <w:pStyle w:val="Heading2"/>
      </w:pPr>
      <w:r>
        <w:t xml:space="preserve">Page « Comparaison annuelle »</w:t>
      </w:r>
    </w:p>
    <w:p>
      <w:pPr>
        <w:spacing w:after="120"/>
      </w:pPr>
      <w:r>
        <w:t xml:space="preserve">Compare chaque mois avec le même mois de l'année précédente.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Dans le segment </w:t>
      </w:r>
      <w:r>
        <w:rPr>
          <w:b/>
          <w:bCs/>
        </w:rPr>
        <w:t xml:space="preserve">Mesure sélectionnée</w:t>
      </w:r>
      <w:r>
        <w:t xml:space="preserve">, choisissez l'indicateur à analyser (montant TTC, montant HT, quantité ou bénéfice). Tous les visuels de la page l'affichent.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Filtrez si besoin par </w:t>
      </w:r>
      <w:r>
        <w:rPr>
          <w:b/>
          <w:bCs/>
        </w:rPr>
        <w:t xml:space="preserve">type de société</w:t>
      </w:r>
      <w:r>
        <w:t xml:space="preserve"> (micro-entreprise, PME, ETI, grande entreprise) ou par </w:t>
      </w:r>
      <w:r>
        <w:rPr>
          <w:b/>
          <w:bCs/>
        </w:rPr>
        <w:t xml:space="preserve">gamme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Dans la matrice « Comparaison N / N-1 par mois », cliquez sur le </w:t>
      </w:r>
      <w:r>
        <w:rPr>
          <w:b/>
          <w:bCs/>
        </w:rPr>
        <w:t xml:space="preserve">+</w:t>
      </w:r>
      <w:r>
        <w:t xml:space="preserve"> devant une année pour voir ses mois.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Colonne de la matrice</w:t>
            </w:r>
          </w:p>
        </w:tc>
        <w:tc>
          <w:tcPr>
            <w:tcW w:type="dxa" w:w="70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Signification</w:t>
            </w:r>
          </w:p>
        </w:tc>
      </w:tr>
      <w:tr>
        <w:tc>
          <w:tcPr>
            <w:tcW w:type="dxa" w:w="26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Valeur N</w:t>
            </w:r>
          </w:p>
        </w:tc>
        <w:tc>
          <w:tcPr>
            <w:tcW w:type="dxa" w:w="70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Valeur de l'indicateur pour le mois (ou l'année) de la ligne.</w:t>
            </w:r>
          </w:p>
        </w:tc>
      </w:tr>
      <w:tr>
        <w:tc>
          <w:tcPr>
            <w:tcW w:type="dxa" w:w="26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Valeur N-1</w:t>
            </w:r>
          </w:p>
        </w:tc>
        <w:tc>
          <w:tcPr>
            <w:tcW w:type="dxa" w:w="70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Valeur pour le même mois de l'année précédente.</w:t>
            </w:r>
          </w:p>
        </w:tc>
      </w:tr>
      <w:tr>
        <w:tc>
          <w:tcPr>
            <w:tcW w:type="dxa" w:w="26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Variation annuelle %</w:t>
            </w:r>
          </w:p>
        </w:tc>
        <w:tc>
          <w:tcPr>
            <w:tcW w:type="dxa" w:w="70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Écart entre N et N-1, en pourcentage de N-1 (par exemple +31 % ou -54 %). Vide quand l'année précédente n'a pas de données.</w:t>
            </w:r>
          </w:p>
        </w:tc>
      </w:tr>
    </w:tbl>
    <w:p>
      <w:pPr>
        <w:spacing w:after="12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409950"/>
            <wp:effectExtent t="0" r="0" b="0" l="0"/>
            <wp:docPr id="1" name="ventes-2.png" descr="Ventes, page Comparaison annuelle" title="Ventes, page Comparaison annue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F7F7F"/>
          <w:sz w:val="18"/>
          <w:szCs w:val="18"/>
        </w:rPr>
        <w:t xml:space="preserve">Ventes, page Comparaison annuelle</w:t>
      </w:r>
    </w:p>
    <w:p>
      <w:pPr>
        <w:spacing w:after="120"/>
      </w:pPr>
      <w:r>
        <w:t xml:space="preserve">Les deux histogrammes de droite montrent le même indicateur par secteur de produits et par société. Cliquez sur une société pour limiter la matrice à ses achats.</w:t>
      </w:r>
    </w:p>
    <w:p>
      <w:pPr>
        <w:pStyle w:val="Heading2"/>
      </w:pPr>
      <w:r>
        <w:t xml:space="preserve">Page « Agrégats »</w:t>
      </w:r>
    </w:p>
    <w:p>
      <w:pPr>
        <w:spacing w:after="120"/>
      </w:pPr>
      <w:r>
        <w:t xml:space="preserve">Cette page montre les ventes </w:t>
      </w:r>
      <w:r>
        <w:rPr>
          <w:b/>
          <w:bCs/>
        </w:rPr>
        <w:t xml:space="preserve">telles que les servent les vues matérialisées</w:t>
      </w:r>
      <w:r>
        <w:t xml:space="preserve"> du magasin, sans repasser par le fait détaillé. Chaque visuel lit un agrégat différent du treillis ; c'est ce qui rend les rapports mensuels rapides, même quand le volume d'achats augmente.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4238"/>
      </w:tblGrid>
      <w:tr>
        <w:trPr>
          <w:tblHeader/>
        </w:trPr>
        <w:tc>
          <w:tcPr>
            <w:tcW w:type="dxa" w:w="27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Visuel</w:t>
            </w:r>
          </w:p>
        </w:tc>
        <w:tc>
          <w:tcPr>
            <w:tcW w:type="dxa" w:w="27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Agrégat lu</w:t>
            </w:r>
          </w:p>
        </w:tc>
        <w:tc>
          <w:tcPr>
            <w:tcW w:type="dxa" w:w="42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Comment le lire</w:t>
            </w:r>
          </w:p>
        </w:tc>
      </w:tr>
      <w:tr>
        <w:tc>
          <w:tcPr>
            <w:tcW w:type="dxa" w:w="27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AGG1 : Évolution mensuelle du montant payé par pays</w:t>
            </w:r>
          </w:p>
        </w:tc>
        <w:tc>
          <w:tcPr>
            <w:tcW w:type="dxa" w:w="27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MV_ACH_PAYS_MOIS</w:t>
            </w:r>
          </w:p>
          <w:p>
            <w:pPr>
              <w:spacing w:after="0"/>
            </w:pPr>
            <w:r>
              <w:t xml:space="preserve">(Pays, Mois)</w:t>
            </w:r>
          </w:p>
        </w:tc>
        <w:tc>
          <w:tcPr>
            <w:tcW w:type="dxa" w:w="42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Une courbe par pays. On compare la saisonnalité française et allemande, et on voit le démarrage de l'activité allemande en 2026.</w:t>
            </w:r>
          </w:p>
        </w:tc>
      </w:tr>
      <w:tr>
        <w:tc>
          <w:tcPr>
            <w:tcW w:type="dxa" w:w="27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AGG2 : Montant payé par gamme et par région / Land</w:t>
            </w:r>
          </w:p>
        </w:tc>
        <w:tc>
          <w:tcPr>
            <w:tcW w:type="dxa" w:w="27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MV_ACH_GAM_REG_MOIS</w:t>
            </w:r>
          </w:p>
          <w:p>
            <w:pPr>
              <w:spacing w:after="0"/>
            </w:pPr>
            <w:r>
              <w:t xml:space="preserve">(Gamme, Région / Land, Mois)</w:t>
            </w:r>
          </w:p>
        </w:tc>
        <w:tc>
          <w:tcPr>
            <w:tcW w:type="dxa" w:w="42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Matrice colorée : plus une case est foncée, plus la gamme se vend dans ce territoire. La case la plus foncée de chaque ligne donne la gamme la plus adaptée au territoire.</w:t>
            </w:r>
          </w:p>
        </w:tc>
      </w:tr>
      <w:tr>
        <w:tc>
          <w:tcPr>
            <w:tcW w:type="dxa" w:w="27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AGG3 : Montant payé par type de société et catégorie juridique</w:t>
            </w:r>
          </w:p>
        </w:tc>
        <w:tc>
          <w:tcPr>
            <w:tcW w:type="dxa" w:w="27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MV_ACH_TYPE_CJ_MOIS</w:t>
            </w:r>
          </w:p>
          <w:p>
            <w:pPr>
              <w:spacing w:after="0"/>
            </w:pPr>
            <w:r>
              <w:t xml:space="preserve">(Type × Catégorie juridique, Mois)</w:t>
            </w:r>
          </w:p>
        </w:tc>
        <w:tc>
          <w:tcPr>
            <w:tcW w:type="dxa" w:w="42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Une barre par type de société, découpée par catégorie juridique (SAS, SA, SARL, GmbH…). On repère les profils de sociétés clientes qui achètent le plus.</w:t>
            </w:r>
          </w:p>
        </w:tc>
      </w:tr>
    </w:tbl>
    <w:p>
      <w:pPr>
        <w:spacing w:after="120"/>
      </w:pPr>
    </w:p>
    <w:p>
      <w:pPr>
        <w:pBdr>
          <w:left w:val="single" w:color="1F4E79" w:sz="18" w:space="6"/>
        </w:pBdr>
        <w:shd w:fill="DEEAF6" w:color="auto" w:val="clear"/>
        <w:spacing w:after="160" w:before="60"/>
        <w:ind w:left="120"/>
      </w:pPr>
      <w:r>
        <w:rPr>
          <w:b/>
          <w:bCs/>
        </w:rPr>
        <w:t xml:space="preserve">Pas de segment sur cette page.</w:t>
      </w:r>
      <w:r>
        <w:t xml:space="preserve"> Les trois agrégats sont des tables indépendantes, sans relation entre elles : un segment n'en filtrerait qu'un seul. Pour filtrer, cliquez sur un élément d'un visuel (un pays de la légende, une ligne de la matrice) ou utilisez le volet </w:t>
      </w:r>
      <w:r>
        <w:rPr>
          <w:b/>
          <w:bCs/>
        </w:rPr>
        <w:t xml:space="preserve">Filtres</w:t>
      </w:r>
      <w:r>
        <w:t xml:space="preserve"> du visuel concerné. La sécurité par pays (Lyon / Berlin) s'applique quand même, car chaque agrégat conserve le code pays.</w:t>
      </w:r>
    </w:p>
    <w:p>
      <w:pPr>
        <w:pStyle w:val="Heading2"/>
      </w:pPr>
      <w:r>
        <w:t xml:space="preserve">Deux vues : Lyon et Berlin</w:t>
      </w:r>
    </w:p>
    <w:p>
      <w:pPr>
        <w:spacing w:after="120"/>
      </w:pPr>
      <w:r>
        <w:t xml:space="preserve">Chaque responsable des ventes ne doit voir que les ventes de son pays. Le rapport contient pour cela deux </w:t>
      </w:r>
      <w:r>
        <w:rPr>
          <w:b/>
          <w:bCs/>
        </w:rPr>
        <w:t xml:space="preserve">rôles de sécurité</w:t>
      </w:r>
      <w:r>
        <w:t xml:space="preserve">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038"/>
      </w:tblGrid>
      <w:tr>
        <w:trPr>
          <w:tblHeader/>
        </w:trPr>
        <w:tc>
          <w:tcPr>
            <w:tcW w:type="dxa" w:w="20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Rôle</w:t>
            </w:r>
          </w:p>
        </w:tc>
        <w:tc>
          <w:tcPr>
            <w:tcW w:type="dxa" w:w="36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Filtre appliqué</w:t>
            </w:r>
          </w:p>
        </w:tc>
        <w:tc>
          <w:tcPr>
            <w:tcW w:type="dxa" w:w="40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Ce que voit l'utilisateur</w:t>
            </w:r>
          </w:p>
        </w:tc>
      </w:tr>
      <w:tr>
        <w:tc>
          <w:tcPr>
            <w:tcW w:type="dxa" w:w="20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Lyon</w:t>
            </w:r>
          </w:p>
        </w:tc>
        <w:tc>
          <w:tcPr>
            <w:tcW w:type="dxa" w:w="36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CODEPAYS = "FR"</w:t>
            </w:r>
          </w:p>
        </w:tc>
        <w:tc>
          <w:tcPr>
            <w:tcW w:type="dxa" w:w="40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Uniquement les achats des employés de sociétés françaises</w:t>
            </w:r>
          </w:p>
        </w:tc>
      </w:tr>
      <w:tr>
        <w:tc>
          <w:tcPr>
            <w:tcW w:type="dxa" w:w="20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Berlin</w:t>
            </w:r>
          </w:p>
        </w:tc>
        <w:tc>
          <w:tcPr>
            <w:tcW w:type="dxa" w:w="36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CODEPAYS = "DE"</w:t>
            </w:r>
          </w:p>
        </w:tc>
        <w:tc>
          <w:tcPr>
            <w:tcW w:type="dxa" w:w="40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Uniquement les achats des employés de sociétés allemandes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Le filtre est posé sur </w:t>
      </w:r>
      <w:r>
        <w:rPr>
          <w:b/>
          <w:bCs/>
        </w:rPr>
        <w:t xml:space="preserve">quatre tables</w:t>
      </w:r>
      <w:r>
        <w:t xml:space="preserve"> : la dimension </w:t>
      </w:r>
      <w:r>
        <w:rPr>
          <w:rFonts w:ascii="Consolas" w:cs="Consolas" w:eastAsia="Consolas" w:hAnsi="Consolas"/>
          <w:sz w:val="19"/>
          <w:szCs w:val="19"/>
        </w:rPr>
        <w:t xml:space="preserve">EMPLOYE_MD2</w:t>
      </w:r>
      <w:r>
        <w:t xml:space="preserve"> (il se propage au fait, donc aux pages 1 et 2) et les trois agrégats </w:t>
      </w:r>
      <w:r>
        <w:rPr>
          <w:rFonts w:ascii="Consolas" w:cs="Consolas" w:eastAsia="Consolas" w:hAnsi="Consolas"/>
          <w:sz w:val="19"/>
          <w:szCs w:val="19"/>
        </w:rPr>
        <w:t xml:space="preserve">MV_ACH_PAYS_MOIS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MV_ACH_GAM_REG_MOIS</w:t>
      </w:r>
      <w:r>
        <w:t xml:space="preserve"> et </w:t>
      </w:r>
      <w:r>
        <w:rPr>
          <w:rFonts w:ascii="Consolas" w:cs="Consolas" w:eastAsia="Consolas" w:hAnsi="Consolas"/>
          <w:sz w:val="19"/>
          <w:szCs w:val="19"/>
        </w:rPr>
        <w:t xml:space="preserve">MV_ACH_TYPE_CJ_MOIS</w:t>
      </w:r>
      <w:r>
        <w:t xml:space="preserve"> (page 3), qui ne sont pas reliés à la dimension Employé.</w:t>
      </w:r>
    </w:p>
    <w:p>
      <w:pPr>
        <w:spacing w:after="120"/>
      </w:pPr>
      <w:r>
        <w:rPr>
          <w:b/>
          <w:bCs/>
        </w:rPr>
        <w:t xml:space="preserve">Pour tester une vue dans Power BI Desktop</w:t>
      </w:r>
      <w:r>
        <w:t xml:space="preserve"> : onglet </w:t>
      </w:r>
      <w:r>
        <w:rPr>
          <w:b/>
          <w:bCs/>
        </w:rPr>
        <w:t xml:space="preserve">Modélisation</w:t>
      </w:r>
      <w:r>
        <w:t xml:space="preserve">, </w:t>
      </w:r>
      <w:r>
        <w:rPr>
          <w:b/>
          <w:bCs/>
        </w:rPr>
        <w:t xml:space="preserve">Voir comme</w:t>
      </w:r>
      <w:r>
        <w:t xml:space="preserve">, cochez </w:t>
      </w:r>
      <w:r>
        <w:rPr>
          <w:b/>
          <w:bCs/>
        </w:rPr>
        <w:t xml:space="preserve">Lyon</w:t>
      </w:r>
      <w:r>
        <w:t xml:space="preserve"> ou </w:t>
      </w:r>
      <w:r>
        <w:rPr>
          <w:b/>
          <w:bCs/>
        </w:rPr>
        <w:t xml:space="preserve">Berlin</w:t>
      </w:r>
      <w:r>
        <w:t xml:space="preserve">, puis </w:t>
      </w:r>
      <w:r>
        <w:rPr>
          <w:b/>
          <w:bCs/>
        </w:rPr>
        <w:t xml:space="preserve">OK</w:t>
      </w:r>
      <w:r>
        <w:t xml:space="preserve">. Le segment Pays ne propose plus que le pays du rôle, et les trois visuels de la page Agrégats ne montrent plus que ce pays. Cliquez sur </w:t>
      </w:r>
      <w:r>
        <w:rPr>
          <w:b/>
          <w:bCs/>
        </w:rPr>
        <w:t xml:space="preserve">Arrêter l'affichage</w:t>
      </w:r>
      <w:r>
        <w:t xml:space="preserve"> pour revenir à la vue complète.</w:t>
      </w:r>
    </w:p>
    <w:p>
      <w:pPr>
        <w:spacing w:after="120"/>
      </w:pPr>
      <w:r>
        <w:rPr>
          <w:b/>
          <w:bCs/>
        </w:rPr>
        <w:t xml:space="preserve">En production</w:t>
      </w:r>
      <w:r>
        <w:t xml:space="preserve"> (après publication sur le service Power BI), on associe le compte de chaque responsable à son rôle dans les paramètres de sécurité du modèle sémantique. Sans rôle, un utilisateur administrateur voit la vue consolidée des deux pays.</w:t>
      </w:r>
    </w:p>
    <w:p>
      <w:pPr>
        <w:pStyle w:val="Heading1"/>
      </w:pPr>
      <w:r>
        <w:t xml:space="preserve">6. Quelle page pour quelle question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Question du décideur</w:t>
            </w:r>
          </w:p>
        </w:tc>
        <w:tc>
          <w:tcPr>
            <w:tcW w:type="dxa" w:w="46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Où regarder</w:t>
            </w:r>
          </w:p>
        </w:tc>
      </w:tr>
      <w:tr>
        <w:tc>
          <w:tcPr>
            <w:tcW w:type="dxa" w:w="50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Combien chaque société a-t-elle payé en locations ce mois-ci ?</w:t>
            </w:r>
          </w:p>
        </w:tc>
        <w:tc>
          <w:tcPr>
            <w:tcW w:type="dxa" w:w="46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Locations, page Analyse 1</w:t>
            </w:r>
          </w:p>
        </w:tc>
      </w:tr>
      <w:tr>
        <w:tc>
          <w:tcPr>
            <w:tcW w:type="dxa" w:w="50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Quels salariés louent le plus, et combien de temps ?</w:t>
            </w:r>
          </w:p>
        </w:tc>
        <w:tc>
          <w:tcPr>
            <w:tcW w:type="dxa" w:w="46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Locations, page Analyse 2</w:t>
            </w:r>
          </w:p>
        </w:tc>
      </w:tr>
      <w:tr>
        <w:tc>
          <w:tcPr>
            <w:tcW w:type="dxa" w:w="50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Dans quelles régions ou quels Länder loue-t-on le plus longtemps ?</w:t>
            </w:r>
          </w:p>
        </w:tc>
        <w:tc>
          <w:tcPr>
            <w:tcW w:type="dxa" w:w="46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Locations, page Analyse 3</w:t>
            </w:r>
          </w:p>
        </w:tc>
      </w:tr>
      <w:tr>
        <w:tc>
          <w:tcPr>
            <w:tcW w:type="dxa" w:w="50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Quelles marques et quels secteurs rapportent le plus en location ?</w:t>
            </w:r>
          </w:p>
        </w:tc>
        <w:tc>
          <w:tcPr>
            <w:tcW w:type="dxa" w:w="46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Locations, page Synthèse 1</w:t>
            </w:r>
          </w:p>
        </w:tc>
      </w:tr>
      <w:tr>
        <w:tc>
          <w:tcPr>
            <w:tcW w:type="dxa" w:w="50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Mes locations progressent-elles par rapport à l'an dernier ?</w:t>
            </w:r>
          </w:p>
        </w:tc>
        <w:tc>
          <w:tcPr>
            <w:tcW w:type="dxa" w:w="46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Locations, page Synthèse 2</w:t>
            </w:r>
          </w:p>
        </w:tc>
      </w:tr>
      <w:tr>
        <w:tc>
          <w:tcPr>
            <w:tcW w:type="dxa" w:w="50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Quelles gammes vendre dans telle région ou tel Land ?</w:t>
            </w:r>
          </w:p>
        </w:tc>
        <w:tc>
          <w:tcPr>
            <w:tcW w:type="dxa" w:w="46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Ventes, page Agrégats (matrice AGG2), ou page Analyse des ventes en cliquant sur le territoire</w:t>
            </w:r>
          </w:p>
        </w:tc>
      </w:tr>
      <w:tr>
        <w:tc>
          <w:tcPr>
            <w:tcW w:type="dxa" w:w="50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Quelle est la saisonnalité des ventes, en France et en Allemagne ?</w:t>
            </w:r>
          </w:p>
        </w:tc>
        <w:tc>
          <w:tcPr>
            <w:tcW w:type="dxa" w:w="46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Ventes, page Analyse des ventes (graphique mensuel) et page Agrégats (courbes AGG1)</w:t>
            </w:r>
          </w:p>
        </w:tc>
      </w:tr>
      <w:tr>
        <w:tc>
          <w:tcPr>
            <w:tcW w:type="dxa" w:w="50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Mes ventes progressent-elles par rapport à l'an dernier ?</w:t>
            </w:r>
          </w:p>
        </w:tc>
        <w:tc>
          <w:tcPr>
            <w:tcW w:type="dxa" w:w="46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Ventes, page Comparaison annuelle</w:t>
            </w:r>
          </w:p>
        </w:tc>
      </w:tr>
      <w:tr>
        <w:tc>
          <w:tcPr>
            <w:tcW w:type="dxa" w:w="50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Quels types de sociétés, et quelles formes juridiques, achètent le plus ?</w:t>
            </w:r>
          </w:p>
        </w:tc>
        <w:tc>
          <w:tcPr>
            <w:tcW w:type="dxa" w:w="46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Ventes, page Agrégats (histogramme AGG3)</w:t>
            </w:r>
          </w:p>
        </w:tc>
      </w:tr>
      <w:tr>
        <w:tc>
          <w:tcPr>
            <w:tcW w:type="dxa" w:w="50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Quelles sociétés clientes achètent le plus ?</w:t>
            </w:r>
          </w:p>
        </w:tc>
        <w:tc>
          <w:tcPr>
            <w:tcW w:type="dxa" w:w="46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Ventes, page Comparaison annuelle (histogramme par société)</w:t>
            </w:r>
          </w:p>
        </w:tc>
      </w:tr>
      <w:tr>
        <w:tc>
          <w:tcPr>
            <w:tcW w:type="dxa" w:w="50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Combien MobiPass gagne-t-il sur les ventes ?</w:t>
            </w:r>
          </w:p>
        </w:tc>
        <w:tc>
          <w:tcPr>
            <w:tcW w:type="dxa" w:w="46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Ventes, pages 1 et 2 avec l'indicateur Bénéfice HT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En cas de problème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Symptôme</w:t>
            </w:r>
          </w:p>
        </w:tc>
        <w:tc>
          <w:tcPr>
            <w:tcW w:type="dxa" w:w="60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Solution</w:t>
            </w:r>
          </w:p>
        </w:tc>
      </w:tr>
      <w:tr>
        <w:tc>
          <w:tcPr>
            <w:tcW w:type="dxa" w:w="36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Message d'erreur Oracle à l'actualisation (par exemple ORA-50201 ou délai dépassé)</w:t>
            </w:r>
          </w:p>
        </w:tc>
        <w:tc>
          <w:tcPr>
            <w:tcW w:type="dxa" w:w="60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Le serveur n'est pas joignable : connectez-vous depuis le réseau de l'université, ou ouvrez le tunnel SSH puis utilisez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localhost:&lt;port&gt;/siad</w:t>
            </w:r>
            <w:r>
              <w:t xml:space="preserve">.</w:t>
            </w:r>
          </w:p>
        </w:tc>
      </w:tr>
      <w:tr>
        <w:tc>
          <w:tcPr>
            <w:tcW w:type="dxa" w:w="36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« Identifiants non valides »</w:t>
            </w:r>
          </w:p>
        </w:tc>
        <w:tc>
          <w:tcPr>
            <w:tcW w:type="dxa" w:w="60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Refaites l'étape 4 de la section 2 en choisissant bien le mode </w:t>
            </w:r>
            <w:r>
              <w:rPr>
                <w:b/>
                <w:bCs/>
              </w:rPr>
              <w:t xml:space="preserve">Base de données</w:t>
            </w:r>
            <w:r>
              <w:t xml:space="preserve"> (et non Windows).</w:t>
            </w:r>
          </w:p>
        </w:tc>
      </w:tr>
      <w:tr>
        <w:tc>
          <w:tcPr>
            <w:tcW w:type="dxa" w:w="36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Les visuels sont vides</w:t>
            </w:r>
          </w:p>
        </w:tc>
        <w:tc>
          <w:tcPr>
            <w:tcW w:type="dxa" w:w="60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Vérifiez qu'aucun segment ne filtre sur une valeur sans données, cliquez sur la gomme des segments, puis sur </w:t>
            </w:r>
            <w:r>
              <w:rPr>
                <w:b/>
                <w:bCs/>
              </w:rPr>
              <w:t xml:space="preserve">Actualiser</w:t>
            </w:r>
            <w:r>
              <w:t xml:space="preserve">.</w:t>
            </w:r>
          </w:p>
        </w:tc>
      </w:tr>
      <w:tr>
        <w:tc>
          <w:tcPr>
            <w:tcW w:type="dxa" w:w="36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Les chiffres ne tiennent pas compte des derniers achats</w:t>
            </w:r>
          </w:p>
        </w:tc>
        <w:tc>
          <w:tcPr>
            <w:tcW w:type="dxa" w:w="60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Demandez au service informatique de rafraîchir les vues matérialisées dans Oracle (annexe), puis actualisez Power BI.</w:t>
            </w:r>
          </w:p>
        </w:tc>
      </w:tr>
      <w:tr>
        <w:tc>
          <w:tcPr>
            <w:tcW w:type="dxa" w:w="36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 seul pays apparaît alors qu'on attend les deux</w:t>
            </w:r>
          </w:p>
        </w:tc>
        <w:tc>
          <w:tcPr>
            <w:tcW w:type="dxa" w:w="60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Une vue de rôle est peut-être active : onglet Modélisation, </w:t>
            </w:r>
            <w:r>
              <w:rPr>
                <w:b/>
                <w:bCs/>
              </w:rPr>
              <w:t xml:space="preserve">Arrêter l'affichage</w:t>
            </w:r>
            <w:r>
              <w:t xml:space="preserve">.</w:t>
            </w:r>
          </w:p>
        </w:tc>
      </w:tr>
      <w:tr>
        <w:tc>
          <w:tcPr>
            <w:tcW w:type="dxa" w:w="36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 visuel affiche des tirets « -- »</w:t>
            </w:r>
          </w:p>
        </w:tc>
        <w:tc>
          <w:tcPr>
            <w:tcW w:type="dxa" w:w="60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 élément est sélectionné dans un autre graphique : cliquez dans une zone vide de la page.</w:t>
            </w:r>
          </w:p>
        </w:tc>
      </w:tr>
      <w:tr>
        <w:tc>
          <w:tcPr>
            <w:tcW w:type="dxa" w:w="3600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 segment ne propose qu'une seule année</w:t>
            </w:r>
          </w:p>
        </w:tc>
        <w:tc>
          <w:tcPr>
            <w:tcW w:type="dxa" w:w="6038"/>
            <w:tcBorders>
              <w:top w:val="single" w:color="5B7DB1" w:sz="4"/>
              <w:left w:val="single" w:color="5B7DB1" w:sz="4"/>
              <w:bottom w:val="single" w:color="5B7DB1" w:sz="4"/>
              <w:right w:val="single" w:color="5B7D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Une cellule ou une colonne d'une matrice est sélectionnée et filtre le segment : cliquez à nouveau dessus pour la désélectionner.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Annexe : administration des magasins (service informatique)</w:t>
      </w:r>
    </w:p>
    <w:p>
      <w:pPr>
        <w:spacing w:after="120"/>
      </w:pPr>
      <w:r>
        <w:t xml:space="preserve">Cette annexe décrit les opérations faites dans Oracle par le service informatique. Les décideurs n'en ont pas besoin.</w:t>
      </w:r>
    </w:p>
    <w:p>
      <w:pPr>
        <w:pStyle w:val="Heading2"/>
      </w:pPr>
      <w:r>
        <w:t xml:space="preserve">Se connecter à Oracle avec SQL Developer</w:t>
      </w:r>
    </w:p>
    <w:p>
      <w:pPr>
        <w:spacing w:after="120"/>
      </w:pPr>
      <w:r>
        <w:t xml:space="preserve">Créez une connexion (bouton </w:t>
      </w:r>
      <w:r>
        <w:rPr>
          <w:b/>
          <w:bCs/>
        </w:rPr>
        <w:t xml:space="preserve">+</w:t>
      </w:r>
      <w:r>
        <w:t xml:space="preserve"> vert) avec votre compte Oracle. Depuis le réseau de l'université : hôte </w:t>
      </w:r>
      <w:r>
        <w:rPr>
          <w:rFonts w:ascii="Consolas" w:cs="Consolas" w:eastAsia="Consolas" w:hAnsi="Consolas"/>
          <w:sz w:val="19"/>
          <w:szCs w:val="19"/>
        </w:rPr>
        <w:t xml:space="preserve">etu-ora2.ut-capitole.fr</w:t>
      </w:r>
      <w:r>
        <w:t xml:space="preserve">, port </w:t>
      </w:r>
      <w:r>
        <w:rPr>
          <w:rFonts w:ascii="Consolas" w:cs="Consolas" w:eastAsia="Consolas" w:hAnsi="Consolas"/>
          <w:sz w:val="19"/>
          <w:szCs w:val="19"/>
        </w:rPr>
        <w:t xml:space="preserve">1550</w:t>
      </w:r>
      <w:r>
        <w:t xml:space="preserve">, SID </w:t>
      </w:r>
      <w:r>
        <w:rPr>
          <w:rFonts w:ascii="Consolas" w:cs="Consolas" w:eastAsia="Consolas" w:hAnsi="Consolas"/>
          <w:sz w:val="19"/>
          <w:szCs w:val="19"/>
        </w:rPr>
        <w:t xml:space="preserve">siad</w:t>
      </w:r>
      <w:r>
        <w:t xml:space="preserve">. Depuis l'extérieur, à travers le tunnel SSH : hôte </w:t>
      </w:r>
      <w:r>
        <w:rPr>
          <w:rFonts w:ascii="Consolas" w:cs="Consolas" w:eastAsia="Consolas" w:hAnsi="Consolas"/>
          <w:sz w:val="19"/>
          <w:szCs w:val="19"/>
        </w:rPr>
        <w:t xml:space="preserve">localhost</w:t>
      </w:r>
      <w:r>
        <w:t xml:space="preserve">, même port et même SID. Cliquez sur </w:t>
      </w:r>
      <w:r>
        <w:rPr>
          <w:b/>
          <w:bCs/>
        </w:rPr>
        <w:t xml:space="preserve">Tester</w:t>
      </w:r>
      <w:r>
        <w:t xml:space="preserve"> puis </w:t>
      </w:r>
      <w:r>
        <w:rPr>
          <w:b/>
          <w:bCs/>
        </w:rPr>
        <w:t xml:space="preserve">Connexion</w:t>
      </w:r>
      <w:r>
        <w:t xml:space="preserve">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953000" cy="3181350"/>
            <wp:effectExtent t="0" r="0" b="0" l="0"/>
            <wp:docPr id="1" name="oracle_connexion.png" descr="Connexion SQL Developer à travers le tunnel SSH (hôte localhost, port 1550, SID siad)" title="Connexion SQL Developer à travers le tunnel SSH (hôte localhost, port 1550, SID sia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F7F7F"/>
          <w:sz w:val="18"/>
          <w:szCs w:val="18"/>
        </w:rPr>
        <w:t xml:space="preserve">Connexion SQL Developer à travers le tunnel SSH (hôte localhost, port 1550, SID siad)</w:t>
      </w:r>
    </w:p>
    <w:p>
      <w:pPr>
        <w:pStyle w:val="Heading2"/>
      </w:pPr>
      <w:r>
        <w:t xml:space="preserve">Mettre les magasins à jour après un nouveau chargement</w:t>
      </w:r>
    </w:p>
    <w:p>
      <w:pPr>
        <w:spacing w:after="120"/>
      </w:pPr>
      <w:r>
        <w:t xml:space="preserve">Les magasins sont des vues matérialisées rafraîchies à la demande. Après chaque alimentation de l'entrepôt, lancez dans SQL Developer le bloc de rafraîchissement du magasin concerné, puis cliquez sur </w:t>
      </w:r>
      <w:r>
        <w:rPr>
          <w:b/>
          <w:bCs/>
        </w:rPr>
        <w:t xml:space="preserve">Actualiser</w:t>
      </w:r>
      <w:r>
        <w:t xml:space="preserve"> dans Power BI.</w:t>
      </w:r>
    </w:p>
    <w:p>
      <w:pPr>
        <w:spacing w:after="120"/>
      </w:pPr>
      <w:r>
        <w:rPr>
          <w:b/>
          <w:bCs/>
        </w:rPr>
        <w:t xml:space="preserve">Magasin des ventes</w:t>
      </w:r>
      <w:r>
        <w:t xml:space="preserve"> : le bloc se trouve à la fin de </w:t>
      </w:r>
      <w:r>
        <w:rPr>
          <w:rFonts w:ascii="Consolas" w:cs="Consolas" w:eastAsia="Consolas" w:hAnsi="Consolas"/>
          <w:sz w:val="19"/>
          <w:szCs w:val="19"/>
        </w:rPr>
        <w:t xml:space="preserve">sql/md_ventes/01_Achat_MD_structure_agregats.sql</w:t>
      </w:r>
      <w:r>
        <w:t xml:space="preserve">. Il rafraîchit les dimensions, puis le fait, puis les agrégats, dans cet ordre :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BEGIN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DBMS_MVIEW.REFRESH('TEMPS_MD2',   method =&gt; 'C');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DBMS_MVIEW.REFRESH('PRODUIT_MD2', method =&gt; 'C');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DBMS_MVIEW.REFRESH('METIER_MD2',  method =&gt; 'C');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DBMS_MVIEW.REFRESH('EMPLOYE_MD2', method =&gt; 'C');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DBMS_MVIEW.REFRESH('ACHAT_MD2',   method =&gt; 'C');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DBMS_MVIEW.REFRESH('MV_ACH_GAM_REG_MOIS', method =&gt; 'C');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DBMS_MVIEW.REFRESH('MV_ACH_PAYS_MOIS',    method =&gt; 'C');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DBMS_MVIEW.REFRESH('MV_ACH_TYPE_CJ_MOIS', method =&gt; 'C');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END;</w:t>
      </w:r>
    </w:p>
    <w:p>
      <w:pPr>
        <w:shd w:fill="F2F2F2" w:color="auto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</w:t>
      </w:r>
    </w:p>
    <w:p>
      <w:pPr>
        <w:spacing w:after="120"/>
      </w:pPr>
      <w:r>
        <w:rPr>
          <w:b/>
          <w:bCs/>
        </w:rPr>
        <w:t xml:space="preserve">Magasin des locations</w:t>
      </w:r>
      <w:r>
        <w:t xml:space="preserve"> : même principe, dimensions et fait d'abord, puis les agrégats (</w:t>
      </w:r>
      <w:r>
        <w:rPr>
          <w:rFonts w:ascii="Consolas" w:cs="Consolas" w:eastAsia="Consolas" w:hAnsi="Consolas"/>
          <w:sz w:val="19"/>
          <w:szCs w:val="19"/>
        </w:rPr>
        <w:t xml:space="preserve">AGG_MOIS_REGION_MD1</w:t>
      </w:r>
      <w:r>
        <w:t xml:space="preserve"> en dernier, car il est calculé à partir de </w:t>
      </w:r>
      <w:r>
        <w:rPr>
          <w:rFonts w:ascii="Consolas" w:cs="Consolas" w:eastAsia="Consolas" w:hAnsi="Consolas"/>
          <w:sz w:val="19"/>
          <w:szCs w:val="19"/>
        </w:rPr>
        <w:t xml:space="preserve">AGG_MOIS_SOCIETE_MD1</w:t>
      </w:r>
      <w:r>
        <w:t xml:space="preserve">) :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BEGIN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DBMS_MVIEW.REFRESH('TEMPS_MD1',      method =&gt; 'C');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DBMS_MVIEW.REFRESH('EXEMPLAIRE_MD1', method =&gt; 'C');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DBMS_MVIEW.REFRESH('EMPLOYE_MD1',    method =&gt; 'C');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DBMS_MVIEW.REFRESH('LOCATION_MD1',   method =&gt; 'C');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DBMS_MVIEW.REFRESH('AGG_SEM_EMPLOYE_MD1',  method =&gt; 'C');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DBMS_MVIEW.REFRESH('AGG_MOIS_SOCIETE_MD1', method =&gt; 'C');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DBMS_MVIEW.REFRESH('AGG_MOIS_REGION_MD1',  method =&gt; 'C');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END;</w:t>
      </w:r>
    </w:p>
    <w:p>
      <w:pPr>
        <w:shd w:fill="F2F2F2" w:color="auto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</w:t>
      </w:r>
    </w:p>
    <w:p>
      <w:pPr>
        <w:pStyle w:val="Heading2"/>
      </w:pPr>
      <w:r>
        <w:t xml:space="preserve">Contrôler le magasin des ventes</w:t>
      </w:r>
    </w:p>
    <w:p>
      <w:pPr>
        <w:spacing w:after="120"/>
      </w:pPr>
      <w:r>
        <w:t xml:space="preserve">Après chaque rafraîchissement, on vérifie que toutes les quantités achetées dans l'entrepôt se retrouvent dans le fait du magasin. Les deux nombres doivent être égaux.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SELECT (SELECT SUM(Qte)          FROM ACHAT)     AS qte_entrepot,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(SELECT SUM(Qte_Achat_MD) FROM ACHAT_MD2) AS qte_magasin</w:t>
      </w:r>
    </w:p>
    <w:p>
      <w:pPr>
        <w:shd w:fill="F2F2F2" w:color="auto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FROM dual;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572000" cy="1247775"/>
            <wp:effectExtent t="0" r="0" b="0" l="0"/>
            <wp:docPr id="1" name="oracle_controle2.png" descr="Contrôle après chargement : 2 690 articles dans l'entrepôt, 2 690 dans le magasin" title="Contrôle après chargement : 2 690 articles dans l'entrepôt, 2 690 dans le magas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F7F7F"/>
          <w:sz w:val="18"/>
          <w:szCs w:val="18"/>
        </w:rPr>
        <w:t xml:space="preserve">Contrôle après chargement : 2 690 articles dans l'entrepôt, 2 690 dans le magasin</w:t>
      </w:r>
    </w:p>
    <w:p>
      <w:pPr>
        <w:spacing w:after="120"/>
      </w:pPr>
      <w:r>
        <w:t xml:space="preserve">Un écart signifie qu'un achat n'a pas trouvé son tarif, sa réduction ou son employé : les requêtes de la section 7 du script </w:t>
      </w:r>
      <w:r>
        <w:rPr>
          <w:rFonts w:ascii="Consolas" w:cs="Consolas" w:eastAsia="Consolas" w:hAnsi="Consolas"/>
          <w:sz w:val="19"/>
          <w:szCs w:val="19"/>
        </w:rPr>
        <w:t xml:space="preserve">sql/md_ventes/01_Achat_MD_structure_agregats.sql</w:t>
      </w:r>
      <w:r>
        <w:t xml:space="preserve"> listent les achats concernés.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NABHIS Consulting  |  MobiPass V2 : guide d'utilisation des outils d'analyse   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◦"/>
      <w:lvlJc w:val="left"/>
      <w:pPr>
        <w:ind w:left="10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559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1d1c28fb9c9e262c2f375f076d4c5fffc289486.png"/><Relationship Id="rId9" Type="http://schemas.openxmlformats.org/officeDocument/2006/relationships/image" Target="media/060e958e3761d64ae0a89077fd4d16edd98ec299.png"/><Relationship Id="rId10" Type="http://schemas.openxmlformats.org/officeDocument/2006/relationships/image" Target="media/0c181ca610df55a8aa27c24d4a310e5df5702c80.png"/><Relationship Id="rId11" Type="http://schemas.openxmlformats.org/officeDocument/2006/relationships/image" Target="media/ff614f010900e2bc15043d60fba651695e618a87.png"/><Relationship Id="rId12" Type="http://schemas.openxmlformats.org/officeDocument/2006/relationships/image" Target="media/2a156164a1aa46a3b26da565e719e9a251bd43d7.png"/><Relationship Id="rId13" Type="http://schemas.openxmlformats.org/officeDocument/2006/relationships/image" Target="media/7ab808b60d38cc4504f1ff9f2e48d290cde6ccd5.png"/><Relationship Id="rId14" Type="http://schemas.openxmlformats.org/officeDocument/2006/relationships/image" Target="media/05379b07f2b103e74e83e67ae3bb5f2bbf7a4a2d.png"/><Relationship Id="rId15" Type="http://schemas.openxmlformats.org/officeDocument/2006/relationships/image" Target="media/016e7a9331e2b917db8519fba974a62586bf88c5.png"/><Relationship Id="rId16" Type="http://schemas.openxmlformats.org/officeDocument/2006/relationships/image" Target="media/b5b87fc9ec917df4fce3b7f41d6cb90dc86eb193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MobiPass V2 : guide d'utilisation des outils d'analyse</dc:title>
  <dc:creator>NABHIS Consulting, M2 MIAGE IDA</dc:creator>
  <cp:lastModifiedBy>Un-named</cp:lastModifiedBy>
  <cp:revision>1</cp:revision>
  <dcterms:created xsi:type="dcterms:W3CDTF">2026-10-28T13:24:16.696Z</dcterms:created>
  <dcterms:modified xsi:type="dcterms:W3CDTF">2026-10-28T13:24:16.696Z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