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Design Choices: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Clean and Minimalistic Design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The design prioritizes simplicity to ensure a clean and intuitive user experience. Minimalistic elements reduce clutter, aiding users in focusing on essential form fields.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Responsive Layout: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Adopted a responsive layout approach using CSS to ensure the form adapts elegantly across various screen sizes and devices. This supports accessibility and usability for a wider audience.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Consistent Styling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Maintained a consistent style throughout the form using uniform padding, border radius, and font styles for a cohesive appearance. This consistency enhances visual appeal and usability.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Emphasis on User Input Fields: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Highlighted input fields through label-element associations and styling for improved visibility and clarity. The clear labeling helps users understand what information is expected.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Feature Choices: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Mandatory Fields: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Implemented required attributes on fields like username, email, and password to ensure users provide necessary information for form submission.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Password Field Security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:Utilized the password input type for the password field to obscure text entry for enhanced security.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Submission Button: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Designed an engaging and responsive submission button to prompt user action and initiate form validation and submission.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Challenges Encountered: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Cross-browser Compatibility: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Ensuring consistent design and functionality across various web browsers posed challenges due to different rendering engines and CSS interpretations. This required extensive testing and adjustments for compatibility.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Responsive Design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Crafting a responsive layout to accommodate various device sizes and orientations demanded meticulous attention to detail. Media queries and flexible sizing were employed to overcome this challenge.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Accessibility Considerations: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Ensuring the form is accessible to all users, including those with disabilities, required additional effort in implementing proper HTML structure, ARIA roles, and possibly further assistive technology considerations.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Conclusion: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design and feature choices were made to prioritize user experience, simplicity, and functionality. Challenges in cross-browser compatibility, responsiveness, and accessibility were addressed through careful coding, testing, and adaptation. The form aims to provide a seamless and intuitive experience for users while collecting essential information effectively. Continuous testing and potential iterations would further refine and enhance the form's usability and accessibility.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