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C74C7" w14:textId="77777777" w:rsidR="00594932" w:rsidRDefault="00594932" w:rsidP="00594932">
      <w:pPr>
        <w:pStyle w:val="NormalWeb"/>
      </w:pPr>
      <w:r>
        <w:rPr>
          <w:rStyle w:val="Strong"/>
          <w:rFonts w:eastAsiaTheme="majorEastAsia"/>
        </w:rPr>
        <w:t>Johnnie Watson III</w:t>
      </w:r>
    </w:p>
    <w:p w14:paraId="5298C6FD" w14:textId="77777777" w:rsidR="00594932" w:rsidRDefault="00594932" w:rsidP="00594932">
      <w:pPr>
        <w:pStyle w:val="NormalWeb"/>
      </w:pPr>
      <w:r>
        <w:rPr>
          <w:rStyle w:val="Strong"/>
          <w:rFonts w:eastAsiaTheme="majorEastAsia"/>
        </w:rPr>
        <w:t>Transforming Traditional Finance Through Technology Innovation</w:t>
      </w:r>
    </w:p>
    <w:p w14:paraId="4A16C9CD" w14:textId="08F9A2F3" w:rsidR="00594932" w:rsidRDefault="00594932" w:rsidP="00594932">
      <w:pPr>
        <w:pStyle w:val="NormalWeb"/>
      </w:pPr>
      <w:r>
        <w:t>As Associate Vice President and Deputy Treasurer at Johns Hopkins University, Watson has emerged as a pioneering force in reimagining how one of America's premier academic institutions manages its financial future.</w:t>
      </w:r>
    </w:p>
    <w:p w14:paraId="67489AE8" w14:textId="77777777" w:rsidR="00594932" w:rsidRDefault="00594932" w:rsidP="00594932">
      <w:pPr>
        <w:pStyle w:val="NormalWeb"/>
      </w:pPr>
      <w:r>
        <w:t>Watson's most ambitious undertaking---developing comprehensive 10-year liquidity planning and capital deployment strategies for the university's $10 billion balance sheet---showcases his unique approach to institutional treasury management. By leveraging Python programming and machine learning models, he has transformed traditional financial forecasting into a sophisticated, data-driven operation that would be at home in Silicon Valley's most innovative fintech companies.</w:t>
      </w:r>
    </w:p>
    <w:p w14:paraId="676BA386" w14:textId="77777777" w:rsidR="00594932" w:rsidRDefault="00594932" w:rsidP="00594932">
      <w:pPr>
        <w:pStyle w:val="NormalWeb"/>
      </w:pPr>
      <w:r>
        <w:t>This technological sophistication extends beyond academic theory. Under Watson's leadership, Johns Hopkins became an early adopter in the cryptocurrency space, with his carefully architected digital asset acceptance strategy generating $1.9 million in crypto donations within just six months of implementation. The initiative required Watson to design everything from secure wallet infrastructure to donor education workflows---a testament to his ability to bridge the gap between emerging technology and institutional risk management.</w:t>
      </w:r>
    </w:p>
    <w:p w14:paraId="276D4571" w14:textId="2AA92D53" w:rsidR="00594932" w:rsidRDefault="00594932" w:rsidP="00594932">
      <w:pPr>
        <w:pStyle w:val="NormalWeb"/>
      </w:pPr>
      <w:r>
        <w:t>As the business leader responsible for the university's $1.8 billion internal lending unit</w:t>
      </w:r>
      <w:r w:rsidR="00017180">
        <w:t xml:space="preserve"> that funds the university capital plan</w:t>
      </w:r>
      <w:r>
        <w:t>, Watson oversees financial operations that rival many mid-sized banks in complexity and scale.</w:t>
      </w:r>
      <w:r w:rsidR="00017180">
        <w:t xml:space="preserve"> Additionally, a portion of his portfolio includes structuring P3 partnerships to fund mission driven initiatives</w:t>
      </w:r>
      <w:r>
        <w:t xml:space="preserve"> </w:t>
      </w:r>
      <w:r w:rsidR="00017180">
        <w:t xml:space="preserve">and monitoring their effects on the rating agency opinions and the university’s debt profile. </w:t>
      </w:r>
      <w:r>
        <w:t>His portfolio</w:t>
      </w:r>
      <w:r w:rsidR="00017180">
        <w:t xml:space="preserve"> also</w:t>
      </w:r>
      <w:r>
        <w:t xml:space="preserve"> includes managing a $2.3 billion short-term investment program and a $600 million commercial paper program, all while maintaining optimal liquidity alignment across government, agency, corporate, and structured fixed income sectors.</w:t>
      </w:r>
    </w:p>
    <w:p w14:paraId="260DB9E6" w14:textId="70D8F629" w:rsidR="00594932" w:rsidRDefault="00594932" w:rsidP="00594932">
      <w:pPr>
        <w:pStyle w:val="NormalWeb"/>
      </w:pPr>
      <w:r>
        <w:t>Watson's risk management expertise extends to his active participation on</w:t>
      </w:r>
      <w:r w:rsidR="00017180">
        <w:t xml:space="preserve"> the joint</w:t>
      </w:r>
      <w:r>
        <w:t xml:space="preserve"> Johns Hopkins University</w:t>
      </w:r>
      <w:r w:rsidR="00017180">
        <w:t xml:space="preserve"> and Johns Hopkins Health System </w:t>
      </w:r>
      <w:r>
        <w:t xml:space="preserve">Insurance Committee, where he collaborates with senior leadership including the Chief Risk and Compliance Officer, Controller, and General Counsel to oversee the university's comprehensive insurance portfolio. His committee work encompasses strategic oversight of multiple coverage lines including property, cyber/privacy, fiduciary, and trustees &amp; </w:t>
      </w:r>
      <w:proofErr w:type="gramStart"/>
      <w:r>
        <w:t>officers</w:t>
      </w:r>
      <w:proofErr w:type="gramEnd"/>
      <w:r>
        <w:t xml:space="preserve"> policies, as well as participation in the governance of MCIC, the university's medical malpractice captive insurer. This role requires Watson to analyze coverage limits, evaluate emerging risks, and navigate increasingly complex insurance markets---expertise that directly complements his treasury responsibilities and reinforces his holistic approach to institutional financial risk management.</w:t>
      </w:r>
    </w:p>
    <w:p w14:paraId="77A168B8" w14:textId="6D88AA4E" w:rsidR="00594932" w:rsidRDefault="00594932" w:rsidP="00594932">
      <w:pPr>
        <w:pStyle w:val="NormalWeb"/>
      </w:pPr>
      <w:r>
        <w:t>Watson's communication prowess extends far beyond internal operations. As one of Johns Hopkins' lead financial liaisons, he regularly presents complex financial strategies to external investors, commercial banks, credit providers, investment banks, and rating agencies. His ability to distill sophisticated financial concepts for diverse audiences---from university board members to government officials to institutional investor groups---has become a hallmark of his leadership approach. These presentations often involve translating intricate liquidity models and risk assessments into actionable strategic narratives that resonate with stakeholders across the financial ecosystem.</w:t>
      </w:r>
    </w:p>
    <w:p w14:paraId="063B5595" w14:textId="77777777" w:rsidR="00594932" w:rsidRDefault="00594932" w:rsidP="00594932">
      <w:pPr>
        <w:pStyle w:val="NormalWeb"/>
      </w:pPr>
      <w:r>
        <w:t>Watson's global perspective is evident in his leadership of a 16-person treasury team that operates across 43 countries and manages transactions in 37 different currencies. However, what distinguishes Watson's management style is his "open door" philosophy and deeply personal approach to team development. Rather than traditional hierarchical management, Watson invests time in understanding each team member's individual strengths, then systematically addresses performance gaps through targeted coaching. His methodology involves gradually building confidence by showing team members they are more capable than they initially believe---an approach that has proven particularly effective in managing complex, multi-jurisdictional financial operations that require both technical precision and innovative thinking. This coaching-centered leadership style has contributed to exceptional team retention and has enabled his department to successfully navigate increasingly sophisticated financial challenges while maintaining operational excellence across multiple global markets.</w:t>
      </w:r>
    </w:p>
    <w:p w14:paraId="2D4ED6A0" w14:textId="77777777" w:rsidR="00594932" w:rsidRDefault="00594932" w:rsidP="00594932">
      <w:pPr>
        <w:pStyle w:val="NormalWeb"/>
      </w:pPr>
      <w:r>
        <w:t>Before joining Johns Hopkins in 2021, Watson served as Treasurer for the City of Atlanta, where he directed working capital strategies and led over $1 billion in tax-exempt municipal bond issuances. His role required regular presentations to city council members, municipal oversight committees, and government officials, where he successfully advocated for financial strategies that generated $4 million in recurring annual revenue while enhancing the city's overall liquidity position.</w:t>
      </w:r>
    </w:p>
    <w:p w14:paraId="448C7305" w14:textId="77777777" w:rsidR="00594932" w:rsidRDefault="00594932" w:rsidP="00594932">
      <w:pPr>
        <w:pStyle w:val="NormalWeb"/>
      </w:pPr>
      <w:r>
        <w:t>Watson's expertise in large-scale financial operations was honed during his tenure at AIG Life &amp; Retirement Companies, where he managed liquidity forecasting across $175 billion in assets. His role required navigating complex regulatory environments while developing automated data workflows that improved forecasting precision. Earlier in his career at USAA, Watson regularly presented sophisticated hedge program performance analysis to the company's Board of Directors and executive committees, demonstrating an early mastery of translating complex financial risk management into executive-level strategic insights---skills he continues to deploy in his current role.</w:t>
      </w:r>
    </w:p>
    <w:p w14:paraId="5B2557D0" w14:textId="77777777" w:rsidR="00594932" w:rsidRDefault="00594932" w:rsidP="00594932">
      <w:pPr>
        <w:pStyle w:val="NormalWeb"/>
      </w:pPr>
      <w:r>
        <w:t>His career trajectory began on Wall Street, with positions at Merrill Lynch's Strategic Solutions Group and Wachovia Securities' Structured Products division, where he built expertise in derivative structuring and complex financial instruments. This foundation in sophisticated financial products has proven invaluable as he has moved into institutional treasury roles.</w:t>
      </w:r>
    </w:p>
    <w:p w14:paraId="42A6ADF7" w14:textId="77777777" w:rsidR="00594932" w:rsidRDefault="00594932" w:rsidP="00594932">
      <w:pPr>
        <w:pStyle w:val="NormalWeb"/>
      </w:pPr>
      <w:r>
        <w:t>Watson's academic credentials---an MBA in Finance and Economics from the University of Chicago's Booth School of Business and a Bachelor of Science in Engineering, Science &amp; Mechanics from Georgia Institute of Technology---reflect the intersection of quantitative rigor and practical application that defines his approach to financial management.</w:t>
      </w:r>
    </w:p>
    <w:p w14:paraId="0F6CA9AF" w14:textId="77777777" w:rsidR="00594932" w:rsidRDefault="00594932" w:rsidP="00594932">
      <w:pPr>
        <w:pStyle w:val="NormalWeb"/>
      </w:pPr>
      <w:r>
        <w:t>Before transitioning into finance, Watson built foundational leadership experience in the personal products sector, where he managed product development initiatives across both domestic and international markets. His engineering background proved instrumental in overseeing plant personnel and executing strategic capacity expansion projects. This early experience in manufacturing operations and global supply chain management provided Watson with a unique understanding of operational risk and capital efficiency that would later distinguish his approach to financial management. His ability to manage diverse teams across different cultural and regulatory environments---skills first developed while expanding plant capacity in international markets---became a cornerstone of his later success in managing complex, multi-jurisdictional financial operations.</w:t>
      </w:r>
    </w:p>
    <w:p w14:paraId="56B666F4" w14:textId="77777777" w:rsidR="00594932" w:rsidRDefault="00594932" w:rsidP="00594932">
      <w:pPr>
        <w:pStyle w:val="NormalWeb"/>
      </w:pPr>
      <w:r>
        <w:t xml:space="preserve">Beyond his institutional roles, Watson has demonstrated entrepreneurial vision as the solo founder and full-stack developer of Mingus™, showcasing technical capabilities that include proficiency in Pandas, Python, SQL, </w:t>
      </w:r>
      <w:proofErr w:type="spellStart"/>
      <w:r>
        <w:t>Streamlit</w:t>
      </w:r>
      <w:proofErr w:type="spellEnd"/>
      <w:r>
        <w:t xml:space="preserve">, NumPy, and </w:t>
      </w:r>
      <w:proofErr w:type="spellStart"/>
      <w:r>
        <w:t>Jupyter</w:t>
      </w:r>
      <w:proofErr w:type="spellEnd"/>
      <w:r>
        <w:t xml:space="preserve"> Notebook. His ability to build technology solutions from the ground up has been instrumental in modernizing financial operations at each organization he has led.</w:t>
      </w:r>
    </w:p>
    <w:p w14:paraId="2E988A50" w14:textId="77777777" w:rsidR="00594932" w:rsidRDefault="00594932" w:rsidP="00594932">
      <w:pPr>
        <w:pStyle w:val="NormalWeb"/>
      </w:pPr>
      <w:r>
        <w:t>In an industry where traditional finance institutions are struggling to adapt to technological disruption, Watson represents a new generation of financial leaders who don't simply adopt new technologies---they architect them. His career exemplifies how deep financial expertise, combined with technological fluency and innovative thinking, can transform even the most traditional institutional environments.</w:t>
      </w:r>
    </w:p>
    <w:p w14:paraId="2CFEF994" w14:textId="77777777" w:rsidR="00594932" w:rsidRDefault="00594932" w:rsidP="00594932">
      <w:pPr>
        <w:pStyle w:val="NormalWeb"/>
      </w:pPr>
      <w:r>
        <w:t>As higher education faces unprecedented financial challenges and opportunities, Watson's unique blend of Wall Street sophistication, technological innovation, and institutional leadership positions him as a key figure in shaping the future of academic finance management. His work at Johns Hopkins serves as a blueprint for how legacy institutions can embrace technological transformation while maintaining the rigorous risk management that institutional stewardship demands.</w:t>
      </w:r>
    </w:p>
    <w:p w14:paraId="09E96068" w14:textId="77777777" w:rsidR="00035225" w:rsidRPr="00594932" w:rsidRDefault="00035225" w:rsidP="00594932"/>
    <w:sectPr w:rsidR="00035225" w:rsidRPr="00594932"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B9"/>
    <w:rsid w:val="00017180"/>
    <w:rsid w:val="00035225"/>
    <w:rsid w:val="00215A64"/>
    <w:rsid w:val="00594932"/>
    <w:rsid w:val="00625859"/>
    <w:rsid w:val="008B7EB9"/>
    <w:rsid w:val="008C7AA7"/>
    <w:rsid w:val="009F5B20"/>
    <w:rsid w:val="00A61488"/>
    <w:rsid w:val="00E45E03"/>
    <w:rsid w:val="00EA3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3639"/>
  <w15:chartTrackingRefBased/>
  <w15:docId w15:val="{7E488605-7D96-5E42-A71F-04E5A34DF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7E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E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E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E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E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E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E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E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7E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E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E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E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EB9"/>
    <w:rPr>
      <w:rFonts w:eastAsiaTheme="majorEastAsia" w:cstheme="majorBidi"/>
      <w:color w:val="272727" w:themeColor="text1" w:themeTint="D8"/>
    </w:rPr>
  </w:style>
  <w:style w:type="paragraph" w:styleId="Title">
    <w:name w:val="Title"/>
    <w:basedOn w:val="Normal"/>
    <w:next w:val="Normal"/>
    <w:link w:val="TitleChar"/>
    <w:uiPriority w:val="10"/>
    <w:qFormat/>
    <w:rsid w:val="008B7E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E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EB9"/>
    <w:pPr>
      <w:spacing w:before="160"/>
      <w:jc w:val="center"/>
    </w:pPr>
    <w:rPr>
      <w:i/>
      <w:iCs/>
      <w:color w:val="404040" w:themeColor="text1" w:themeTint="BF"/>
    </w:rPr>
  </w:style>
  <w:style w:type="character" w:customStyle="1" w:styleId="QuoteChar">
    <w:name w:val="Quote Char"/>
    <w:basedOn w:val="DefaultParagraphFont"/>
    <w:link w:val="Quote"/>
    <w:uiPriority w:val="29"/>
    <w:rsid w:val="008B7EB9"/>
    <w:rPr>
      <w:i/>
      <w:iCs/>
      <w:color w:val="404040" w:themeColor="text1" w:themeTint="BF"/>
    </w:rPr>
  </w:style>
  <w:style w:type="paragraph" w:styleId="ListParagraph">
    <w:name w:val="List Paragraph"/>
    <w:basedOn w:val="Normal"/>
    <w:uiPriority w:val="34"/>
    <w:qFormat/>
    <w:rsid w:val="008B7EB9"/>
    <w:pPr>
      <w:ind w:left="720"/>
      <w:contextualSpacing/>
    </w:pPr>
  </w:style>
  <w:style w:type="character" w:styleId="IntenseEmphasis">
    <w:name w:val="Intense Emphasis"/>
    <w:basedOn w:val="DefaultParagraphFont"/>
    <w:uiPriority w:val="21"/>
    <w:qFormat/>
    <w:rsid w:val="008B7EB9"/>
    <w:rPr>
      <w:i/>
      <w:iCs/>
      <w:color w:val="0F4761" w:themeColor="accent1" w:themeShade="BF"/>
    </w:rPr>
  </w:style>
  <w:style w:type="paragraph" w:styleId="IntenseQuote">
    <w:name w:val="Intense Quote"/>
    <w:basedOn w:val="Normal"/>
    <w:next w:val="Normal"/>
    <w:link w:val="IntenseQuoteChar"/>
    <w:uiPriority w:val="30"/>
    <w:qFormat/>
    <w:rsid w:val="008B7E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EB9"/>
    <w:rPr>
      <w:i/>
      <w:iCs/>
      <w:color w:val="0F4761" w:themeColor="accent1" w:themeShade="BF"/>
    </w:rPr>
  </w:style>
  <w:style w:type="character" w:styleId="IntenseReference">
    <w:name w:val="Intense Reference"/>
    <w:basedOn w:val="DefaultParagraphFont"/>
    <w:uiPriority w:val="32"/>
    <w:qFormat/>
    <w:rsid w:val="008B7EB9"/>
    <w:rPr>
      <w:b/>
      <w:bCs/>
      <w:smallCaps/>
      <w:color w:val="0F4761" w:themeColor="accent1" w:themeShade="BF"/>
      <w:spacing w:val="5"/>
    </w:rPr>
  </w:style>
  <w:style w:type="paragraph" w:styleId="NormalWeb">
    <w:name w:val="Normal (Web)"/>
    <w:basedOn w:val="Normal"/>
    <w:uiPriority w:val="99"/>
    <w:semiHidden/>
    <w:unhideWhenUsed/>
    <w:rsid w:val="008B7EB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49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1296</Words>
  <Characters>7389</Characters>
  <Application>Microsoft Office Word</Application>
  <DocSecurity>0</DocSecurity>
  <Lines>61</Lines>
  <Paragraphs>17</Paragraphs>
  <ScaleCrop>false</ScaleCrop>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3</cp:revision>
  <dcterms:created xsi:type="dcterms:W3CDTF">2025-08-28T01:01:00Z</dcterms:created>
  <dcterms:modified xsi:type="dcterms:W3CDTF">2025-09-02T16:59:00Z</dcterms:modified>
</cp:coreProperties>
</file>