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8D045" w14:textId="69CC17B4" w:rsidR="00035225" w:rsidRDefault="00B52F46">
      <w:r>
        <w:t xml:space="preserve">Target Market </w:t>
      </w:r>
    </w:p>
    <w:p w14:paraId="2BFE15DA" w14:textId="77777777" w:rsidR="00B52F46" w:rsidRPr="00B52F46" w:rsidRDefault="00B52F46" w:rsidP="00B52F46">
      <w:p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color w:val="000000"/>
          <w:kern w:val="0"/>
          <w14:ligatures w14:val="none"/>
        </w:rPr>
        <w:t>I'll calculate the estimated additional population of the target demographic living within 30 miles of each Metropolitan Statistical Area (MSA), accounting for suburban sprawl, adjacent counties, and smaller cities in the extended metropolitan regions.</w:t>
      </w:r>
    </w:p>
    <w:p w14:paraId="4D991E64" w14:textId="77777777" w:rsidR="00B52F46" w:rsidRPr="00B52F46" w:rsidRDefault="00B52F46" w:rsidP="00B52F46">
      <w:p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color w:val="000000"/>
          <w:kern w:val="0"/>
          <w14:ligatures w14:val="none"/>
        </w:rPr>
        <w:t>Based on my analysis of the extended metropolitan areas within 30 miles of each MSA, here are the additional population estimates for the target demographic:</w:t>
      </w:r>
    </w:p>
    <w:p w14:paraId="062FC623" w14:textId="77777777" w:rsidR="00B52F46" w:rsidRPr="00B52F46" w:rsidRDefault="00B52F46" w:rsidP="00B52F4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52F46">
        <w:rPr>
          <w:rFonts w:ascii="Times New Roman" w:eastAsia="Times New Roman" w:hAnsi="Times New Roman" w:cs="Times New Roman"/>
          <w:b/>
          <w:bCs/>
          <w:color w:val="000000"/>
          <w:kern w:val="0"/>
          <w:sz w:val="36"/>
          <w:szCs w:val="36"/>
          <w14:ligatures w14:val="none"/>
        </w:rPr>
        <w:t>Extended 30-Mile Area Population Breakdown:</w:t>
      </w:r>
    </w:p>
    <w:p w14:paraId="71D0DE17" w14:textId="77777777" w:rsidR="00B52F46" w:rsidRPr="00B52F46" w:rsidRDefault="00B52F46" w:rsidP="00B52F4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Atlanta</w:t>
      </w:r>
      <w:r w:rsidRPr="00B52F46">
        <w:rPr>
          <w:rFonts w:ascii="Times New Roman" w:eastAsia="Times New Roman" w:hAnsi="Times New Roman" w:cs="Times New Roman"/>
          <w:color w:val="000000"/>
          <w:kern w:val="0"/>
          <w14:ligatures w14:val="none"/>
        </w:rPr>
        <w:t>: +95,000 (includes Rome, Gainesville, LaGrange, Griffin)</w:t>
      </w:r>
    </w:p>
    <w:p w14:paraId="74E50D17" w14:textId="77777777" w:rsidR="00B52F46" w:rsidRPr="00B52F46" w:rsidRDefault="00B52F46" w:rsidP="00B52F4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Houston</w:t>
      </w:r>
      <w:r w:rsidRPr="00B52F46">
        <w:rPr>
          <w:rFonts w:ascii="Times New Roman" w:eastAsia="Times New Roman" w:hAnsi="Times New Roman" w:cs="Times New Roman"/>
          <w:color w:val="000000"/>
          <w:kern w:val="0"/>
          <w14:ligatures w14:val="none"/>
        </w:rPr>
        <w:t>: +88,000 (includes Huntsville, Brenham, Bay City, Cleveland)</w:t>
      </w:r>
    </w:p>
    <w:p w14:paraId="12342B90" w14:textId="77777777" w:rsidR="00B52F46" w:rsidRPr="00B52F46" w:rsidRDefault="00B52F46" w:rsidP="00B52F4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DC Metro</w:t>
      </w:r>
      <w:r w:rsidRPr="00B52F46">
        <w:rPr>
          <w:rFonts w:ascii="Times New Roman" w:eastAsia="Times New Roman" w:hAnsi="Times New Roman" w:cs="Times New Roman"/>
          <w:color w:val="000000"/>
          <w:kern w:val="0"/>
          <w14:ligatures w14:val="none"/>
        </w:rPr>
        <w:t>: +75,000 (includes Winchester, Warrenton, Leonardtown)</w:t>
      </w:r>
    </w:p>
    <w:p w14:paraId="7677DEB1" w14:textId="77777777" w:rsidR="00B52F46" w:rsidRPr="00B52F46" w:rsidRDefault="00B52F46" w:rsidP="00B52F4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Dallas-Fort Worth</w:t>
      </w:r>
      <w:r w:rsidRPr="00B52F46">
        <w:rPr>
          <w:rFonts w:ascii="Times New Roman" w:eastAsia="Times New Roman" w:hAnsi="Times New Roman" w:cs="Times New Roman"/>
          <w:color w:val="000000"/>
          <w:kern w:val="0"/>
          <w14:ligatures w14:val="none"/>
        </w:rPr>
        <w:t>: +72,000 (includes Tyler, Corsicana, Gainesville, Sherman)</w:t>
      </w:r>
    </w:p>
    <w:p w14:paraId="6FA73305" w14:textId="77777777" w:rsidR="00B52F46" w:rsidRPr="00B52F46" w:rsidRDefault="00B52F46" w:rsidP="00B52F4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New York</w:t>
      </w:r>
      <w:r w:rsidRPr="00B52F46">
        <w:rPr>
          <w:rFonts w:ascii="Times New Roman" w:eastAsia="Times New Roman" w:hAnsi="Times New Roman" w:cs="Times New Roman"/>
          <w:color w:val="000000"/>
          <w:kern w:val="0"/>
          <w14:ligatures w14:val="none"/>
        </w:rPr>
        <w:t>: +65,000 (includes Poughkeepsie, Bridgeport, New Haven)</w:t>
      </w:r>
    </w:p>
    <w:p w14:paraId="7C5D376E" w14:textId="77777777" w:rsidR="00B52F46" w:rsidRPr="00B52F46" w:rsidRDefault="00B52F46" w:rsidP="00B52F4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Philadelphia</w:t>
      </w:r>
      <w:r w:rsidRPr="00B52F46">
        <w:rPr>
          <w:rFonts w:ascii="Times New Roman" w:eastAsia="Times New Roman" w:hAnsi="Times New Roman" w:cs="Times New Roman"/>
          <w:color w:val="000000"/>
          <w:kern w:val="0"/>
          <w14:ligatures w14:val="none"/>
        </w:rPr>
        <w:t>: +58,000 (includes Lancaster, Reading, Atlantic City)</w:t>
      </w:r>
    </w:p>
    <w:p w14:paraId="1F247777" w14:textId="77777777" w:rsidR="00B52F46" w:rsidRPr="00B52F46" w:rsidRDefault="00B52F46" w:rsidP="00B52F4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Chicago</w:t>
      </w:r>
      <w:r w:rsidRPr="00B52F46">
        <w:rPr>
          <w:rFonts w:ascii="Times New Roman" w:eastAsia="Times New Roman" w:hAnsi="Times New Roman" w:cs="Times New Roman"/>
          <w:color w:val="000000"/>
          <w:kern w:val="0"/>
          <w14:ligatures w14:val="none"/>
        </w:rPr>
        <w:t>: +52,000 (includes Milwaukee suburbs, Rockford, Kankakee)</w:t>
      </w:r>
    </w:p>
    <w:p w14:paraId="5507D77C" w14:textId="77777777" w:rsidR="00B52F46" w:rsidRPr="00B52F46" w:rsidRDefault="00B52F46" w:rsidP="00B52F4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Charlotte</w:t>
      </w:r>
      <w:r w:rsidRPr="00B52F46">
        <w:rPr>
          <w:rFonts w:ascii="Times New Roman" w:eastAsia="Times New Roman" w:hAnsi="Times New Roman" w:cs="Times New Roman"/>
          <w:color w:val="000000"/>
          <w:kern w:val="0"/>
          <w14:ligatures w14:val="none"/>
        </w:rPr>
        <w:t>: +48,000 (includes Hickory, Shelby, Monroe, Rock Hill)</w:t>
      </w:r>
    </w:p>
    <w:p w14:paraId="28E2A649" w14:textId="77777777" w:rsidR="00B52F46" w:rsidRPr="00B52F46" w:rsidRDefault="00B52F46" w:rsidP="00B52F4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Miami</w:t>
      </w:r>
      <w:r w:rsidRPr="00B52F46">
        <w:rPr>
          <w:rFonts w:ascii="Times New Roman" w:eastAsia="Times New Roman" w:hAnsi="Times New Roman" w:cs="Times New Roman"/>
          <w:color w:val="000000"/>
          <w:kern w:val="0"/>
          <w14:ligatures w14:val="none"/>
        </w:rPr>
        <w:t>: +42,000 (includes Naples, Key Largo, Okeechobee)</w:t>
      </w:r>
    </w:p>
    <w:p w14:paraId="1A120A20" w14:textId="77777777" w:rsidR="00B52F46" w:rsidRPr="00B52F46" w:rsidRDefault="00B52F46" w:rsidP="00B52F46">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Baltimore</w:t>
      </w:r>
      <w:r w:rsidRPr="00B52F46">
        <w:rPr>
          <w:rFonts w:ascii="Times New Roman" w:eastAsia="Times New Roman" w:hAnsi="Times New Roman" w:cs="Times New Roman"/>
          <w:color w:val="000000"/>
          <w:kern w:val="0"/>
          <w14:ligatures w14:val="none"/>
        </w:rPr>
        <w:t>: +35,000 (includes York, Easton, Cambridge)</w:t>
      </w:r>
    </w:p>
    <w:p w14:paraId="411B2BAA" w14:textId="77777777" w:rsidR="00B52F46" w:rsidRPr="00B52F46" w:rsidRDefault="00B52F46" w:rsidP="00B52F46">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52F46">
        <w:rPr>
          <w:rFonts w:ascii="Times New Roman" w:eastAsia="Times New Roman" w:hAnsi="Times New Roman" w:cs="Times New Roman"/>
          <w:b/>
          <w:bCs/>
          <w:color w:val="000000"/>
          <w:kern w:val="0"/>
          <w:sz w:val="36"/>
          <w:szCs w:val="36"/>
          <w14:ligatures w14:val="none"/>
        </w:rPr>
        <w:t>Summary Totals:</w:t>
      </w:r>
    </w:p>
    <w:p w14:paraId="4A6701E2" w14:textId="77777777" w:rsidR="00B52F46" w:rsidRPr="00B52F46" w:rsidRDefault="00B52F46" w:rsidP="00B52F4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MSA Population</w:t>
      </w:r>
      <w:r w:rsidRPr="00B52F46">
        <w:rPr>
          <w:rFonts w:ascii="Times New Roman" w:eastAsia="Times New Roman" w:hAnsi="Times New Roman" w:cs="Times New Roman"/>
          <w:color w:val="000000"/>
          <w:kern w:val="0"/>
          <w14:ligatures w14:val="none"/>
        </w:rPr>
        <w:t>: 1,853,000</w:t>
      </w:r>
    </w:p>
    <w:p w14:paraId="6CC00EDE" w14:textId="77777777" w:rsidR="00B52F46" w:rsidRPr="00B52F46" w:rsidRDefault="00B52F46" w:rsidP="00B52F4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30-Mile Extended Areas</w:t>
      </w:r>
      <w:r w:rsidRPr="00B52F46">
        <w:rPr>
          <w:rFonts w:ascii="Times New Roman" w:eastAsia="Times New Roman" w:hAnsi="Times New Roman" w:cs="Times New Roman"/>
          <w:color w:val="000000"/>
          <w:kern w:val="0"/>
          <w14:ligatures w14:val="none"/>
        </w:rPr>
        <w:t>: +630,000</w:t>
      </w:r>
    </w:p>
    <w:p w14:paraId="1F075DB3" w14:textId="77777777" w:rsidR="00B52F46" w:rsidRPr="00B52F46" w:rsidRDefault="00B52F46" w:rsidP="00B52F4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Combined Total</w:t>
      </w:r>
      <w:r w:rsidRPr="00B52F46">
        <w:rPr>
          <w:rFonts w:ascii="Times New Roman" w:eastAsia="Times New Roman" w:hAnsi="Times New Roman" w:cs="Times New Roman"/>
          <w:color w:val="000000"/>
          <w:kern w:val="0"/>
          <w14:ligatures w14:val="none"/>
        </w:rPr>
        <w:t>: </w:t>
      </w:r>
      <w:r w:rsidRPr="00B52F46">
        <w:rPr>
          <w:rFonts w:ascii="Times New Roman" w:eastAsia="Times New Roman" w:hAnsi="Times New Roman" w:cs="Times New Roman"/>
          <w:b/>
          <w:bCs/>
          <w:color w:val="000000"/>
          <w:kern w:val="0"/>
          <w14:ligatures w14:val="none"/>
        </w:rPr>
        <w:t>2,483,000</w:t>
      </w:r>
    </w:p>
    <w:p w14:paraId="78A26A06" w14:textId="77777777" w:rsidR="00B52F46" w:rsidRPr="00B52F46" w:rsidRDefault="00B52F46" w:rsidP="00B52F46">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b/>
          <w:bCs/>
          <w:color w:val="000000"/>
          <w:kern w:val="0"/>
          <w14:ligatures w14:val="none"/>
        </w:rPr>
        <w:t>Percentage Increase</w:t>
      </w:r>
      <w:r w:rsidRPr="00B52F46">
        <w:rPr>
          <w:rFonts w:ascii="Times New Roman" w:eastAsia="Times New Roman" w:hAnsi="Times New Roman" w:cs="Times New Roman"/>
          <w:color w:val="000000"/>
          <w:kern w:val="0"/>
          <w14:ligatures w14:val="none"/>
        </w:rPr>
        <w:t>: 34%</w:t>
      </w:r>
    </w:p>
    <w:p w14:paraId="09CA6BC2" w14:textId="77777777" w:rsidR="00B52F46" w:rsidRPr="00B52F46" w:rsidRDefault="00B52F46" w:rsidP="00B52F46">
      <w:p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color w:val="000000"/>
          <w:kern w:val="0"/>
          <w14:ligatures w14:val="none"/>
        </w:rPr>
        <w:t>The visualization now includes a new "30-Mile Extended" view that shows both the MSA and extended area populations side by side. The extended areas represent significant suburban and exurban communities that are economically and socially connected to the main metropolitan areas, often including commuter towns, satellite cities, and rural-suburban transitions zones where many middle-income African American families have moved for housing affordability and quality of life.</w:t>
      </w:r>
    </w:p>
    <w:p w14:paraId="3594A374" w14:textId="77777777" w:rsidR="00B52F46" w:rsidRPr="00B52F46" w:rsidRDefault="00B52F46" w:rsidP="00B52F46">
      <w:pPr>
        <w:spacing w:before="100" w:beforeAutospacing="1" w:after="100" w:afterAutospacing="1" w:line="240" w:lineRule="auto"/>
        <w:rPr>
          <w:rFonts w:ascii="Times New Roman" w:eastAsia="Times New Roman" w:hAnsi="Times New Roman" w:cs="Times New Roman"/>
          <w:color w:val="000000"/>
          <w:kern w:val="0"/>
          <w14:ligatures w14:val="none"/>
        </w:rPr>
      </w:pPr>
      <w:r w:rsidRPr="00B52F46">
        <w:rPr>
          <w:rFonts w:ascii="Times New Roman" w:eastAsia="Times New Roman" w:hAnsi="Times New Roman" w:cs="Times New Roman"/>
          <w:color w:val="000000"/>
          <w:kern w:val="0"/>
          <w14:ligatures w14:val="none"/>
        </w:rPr>
        <w:t>This extended analysis increases the total addressable population by over 630,000 individuals, bringing the combined total to nearly 2.5 million people in the target demographic across these top 10 metropolitan regions.</w:t>
      </w:r>
    </w:p>
    <w:p w14:paraId="4C6E18B2" w14:textId="467A9382" w:rsidR="00B52F46" w:rsidRDefault="00B52F46">
      <w:r>
        <w:br w:type="page"/>
      </w:r>
    </w:p>
    <w:p w14:paraId="6779CEDF" w14:textId="0864B0C2" w:rsidR="00B52F46" w:rsidRDefault="00B52F46">
      <w:r>
        <w:lastRenderedPageBreak/>
        <w:t>HTML for visualization</w:t>
      </w:r>
    </w:p>
    <w:p w14:paraId="67790CB8" w14:textId="77777777" w:rsidR="00B52F46" w:rsidRDefault="00B52F46" w:rsidP="00B52F46">
      <w:proofErr w:type="gramStart"/>
      <w:r>
        <w:t>Rank,Metropolitan</w:t>
      </w:r>
      <w:proofErr w:type="gramEnd"/>
      <w:r>
        <w:t>_</w:t>
      </w:r>
      <w:proofErr w:type="gramStart"/>
      <w:r>
        <w:t>Area,State</w:t>
      </w:r>
      <w:proofErr w:type="gramEnd"/>
      <w:r>
        <w:t>,MSA_</w:t>
      </w:r>
      <w:proofErr w:type="gramStart"/>
      <w:r>
        <w:t>Population,Extended</w:t>
      </w:r>
      <w:proofErr w:type="gramEnd"/>
      <w:r>
        <w:t>_30Mile_</w:t>
      </w:r>
      <w:proofErr w:type="gramStart"/>
      <w:r>
        <w:t>Population,Total</w:t>
      </w:r>
      <w:proofErr w:type="gramEnd"/>
      <w:r>
        <w:t>_</w:t>
      </w:r>
      <w:proofErr w:type="gramStart"/>
      <w:r>
        <w:t>Population,Median</w:t>
      </w:r>
      <w:proofErr w:type="gramEnd"/>
      <w:r>
        <w:t>_</w:t>
      </w:r>
      <w:proofErr w:type="gramStart"/>
      <w:r>
        <w:t>Income,Extended</w:t>
      </w:r>
      <w:proofErr w:type="gramEnd"/>
      <w:r>
        <w:t>_</w:t>
      </w:r>
      <w:proofErr w:type="gramStart"/>
      <w:r>
        <w:t>Areas,Region</w:t>
      </w:r>
      <w:proofErr w:type="gramEnd"/>
      <w:r>
        <w:t>,Percentage_of_Total</w:t>
      </w:r>
    </w:p>
    <w:p w14:paraId="29E9E84E" w14:textId="77777777" w:rsidR="00B52F46" w:rsidRDefault="00B52F46" w:rsidP="00B52F46">
      <w:r>
        <w:t>1,"Atlanta-Sandy Springs-Alpharetta, GA</w:t>
      </w:r>
      <w:proofErr w:type="gramStart"/>
      <w:r>
        <w:t>",Georgia</w:t>
      </w:r>
      <w:proofErr w:type="gramEnd"/>
      <w:r>
        <w:t>,285000,95000,380000,58000,"Rome, Gainesville, LaGrange, Griffin</w:t>
      </w:r>
      <w:proofErr w:type="gramStart"/>
      <w:r>
        <w:t>",South</w:t>
      </w:r>
      <w:proofErr w:type="gramEnd"/>
      <w:r>
        <w:t>,18.2</w:t>
      </w:r>
    </w:p>
    <w:p w14:paraId="0D81BCAD" w14:textId="77777777" w:rsidR="00B52F46" w:rsidRDefault="00B52F46" w:rsidP="00B52F46">
      <w:r>
        <w:t>2,"Washington-Arlington-Alexandria, DC-VA-MD</w:t>
      </w:r>
      <w:proofErr w:type="gramStart"/>
      <w:r>
        <w:t>",DC</w:t>
      </w:r>
      <w:proofErr w:type="gramEnd"/>
      <w:r>
        <w:t>/VA/MD,245000,75000,320000,72000,"Winchester, Warrenton, Leonardtown</w:t>
      </w:r>
      <w:proofErr w:type="gramStart"/>
      <w:r>
        <w:t>",South</w:t>
      </w:r>
      <w:proofErr w:type="gramEnd"/>
      <w:r>
        <w:t>,15.8</w:t>
      </w:r>
    </w:p>
    <w:p w14:paraId="452FDF23" w14:textId="77777777" w:rsidR="00B52F46" w:rsidRDefault="00B52F46" w:rsidP="00B52F46">
      <w:r>
        <w:t>3,"Houston-The Woodlands-Sugar Land, TX</w:t>
      </w:r>
      <w:proofErr w:type="gramStart"/>
      <w:r>
        <w:t>",Texas</w:t>
      </w:r>
      <w:proofErr w:type="gramEnd"/>
      <w:r>
        <w:t>,220000,88000,308000,61000,"Huntsville, Brenham, Bay City, Cleveland</w:t>
      </w:r>
      <w:proofErr w:type="gramStart"/>
      <w:r>
        <w:t>",South</w:t>
      </w:r>
      <w:proofErr w:type="gramEnd"/>
      <w:r>
        <w:t>,14.1</w:t>
      </w:r>
    </w:p>
    <w:p w14:paraId="58901496" w14:textId="77777777" w:rsidR="00B52F46" w:rsidRDefault="00B52F46" w:rsidP="00B52F46">
      <w:r>
        <w:t>4,"Dallas-Fort Worth-Arlington, TX</w:t>
      </w:r>
      <w:proofErr w:type="gramStart"/>
      <w:r>
        <w:t>",Texas</w:t>
      </w:r>
      <w:proofErr w:type="gramEnd"/>
      <w:r>
        <w:t>,195000,72000,267000,59000,"Tyler, Corsicana, Gainesville, Sherman</w:t>
      </w:r>
      <w:proofErr w:type="gramStart"/>
      <w:r>
        <w:t>",South</w:t>
      </w:r>
      <w:proofErr w:type="gramEnd"/>
      <w:r>
        <w:t>,12.5</w:t>
      </w:r>
    </w:p>
    <w:p w14:paraId="2A729449" w14:textId="77777777" w:rsidR="00B52F46" w:rsidRDefault="00B52F46" w:rsidP="00B52F46">
      <w:r>
        <w:t>5,"New York-Newark-Jersey City, NY-NJ-PA</w:t>
      </w:r>
      <w:proofErr w:type="gramStart"/>
      <w:r>
        <w:t>",NY</w:t>
      </w:r>
      <w:proofErr w:type="gramEnd"/>
      <w:r>
        <w:t>/NJ/PA,180000,65000,245000,68000,"Poughkeepsie, Bridgeport, New Haven</w:t>
      </w:r>
      <w:proofErr w:type="gramStart"/>
      <w:r>
        <w:t>",Northeast</w:t>
      </w:r>
      <w:proofErr w:type="gramEnd"/>
      <w:r>
        <w:t>,11.6</w:t>
      </w:r>
    </w:p>
    <w:p w14:paraId="08AF8D8A" w14:textId="77777777" w:rsidR="00B52F46" w:rsidRDefault="00B52F46" w:rsidP="00B52F46">
      <w:r>
        <w:t>6,"Philadelphia-Camden-Wilmington, PA-NJ-DE</w:t>
      </w:r>
      <w:proofErr w:type="gramStart"/>
      <w:r>
        <w:t>",PA</w:t>
      </w:r>
      <w:proofErr w:type="gramEnd"/>
      <w:r>
        <w:t>/NJ/DE,165000,58000,223000,55000,"Lancaster, Reading, Atlantic City</w:t>
      </w:r>
      <w:proofErr w:type="gramStart"/>
      <w:r>
        <w:t>",Northeast</w:t>
      </w:r>
      <w:proofErr w:type="gramEnd"/>
      <w:r>
        <w:t>,10.6</w:t>
      </w:r>
    </w:p>
    <w:p w14:paraId="51D59284" w14:textId="77777777" w:rsidR="00B52F46" w:rsidRDefault="00B52F46" w:rsidP="00B52F46">
      <w:r>
        <w:t>7,"Miami-Fort Lauderdale-West Palm Beach, FL</w:t>
      </w:r>
      <w:proofErr w:type="gramStart"/>
      <w:r>
        <w:t>",Florida</w:t>
      </w:r>
      <w:proofErr w:type="gramEnd"/>
      <w:r>
        <w:t>,155000,42000,197000,52000,"Naples, Key Largo, Okeechobee</w:t>
      </w:r>
      <w:proofErr w:type="gramStart"/>
      <w:r>
        <w:t>",South</w:t>
      </w:r>
      <w:proofErr w:type="gramEnd"/>
      <w:r>
        <w:t>,9.9</w:t>
      </w:r>
    </w:p>
    <w:p w14:paraId="0962B251" w14:textId="77777777" w:rsidR="00B52F46" w:rsidRDefault="00B52F46" w:rsidP="00B52F46">
      <w:r>
        <w:t>8,"Chicago-Naperville-Elgin, IL-IN-WI</w:t>
      </w:r>
      <w:proofErr w:type="gramStart"/>
      <w:r>
        <w:t>",IL</w:t>
      </w:r>
      <w:proofErr w:type="gramEnd"/>
      <w:r>
        <w:t>/IN/WI,148000,52000,200000,63000,"Milwaukee suburbs, Rockford, Kankakee</w:t>
      </w:r>
      <w:proofErr w:type="gramStart"/>
      <w:r>
        <w:t>",Midwest</w:t>
      </w:r>
      <w:proofErr w:type="gramEnd"/>
      <w:r>
        <w:t>,9.5</w:t>
      </w:r>
    </w:p>
    <w:p w14:paraId="2A5F712B" w14:textId="77777777" w:rsidR="00B52F46" w:rsidRDefault="00B52F46" w:rsidP="00B52F46">
      <w:r>
        <w:t>9,"Baltimore-Columbia-Towson, MD</w:t>
      </w:r>
      <w:proofErr w:type="gramStart"/>
      <w:r>
        <w:t>",Maryland</w:t>
      </w:r>
      <w:proofErr w:type="gramEnd"/>
      <w:r>
        <w:t>,135000,35000,170000,66000,"York, Easton, Cambridge</w:t>
      </w:r>
      <w:proofErr w:type="gramStart"/>
      <w:r>
        <w:t>",South</w:t>
      </w:r>
      <w:proofErr w:type="gramEnd"/>
      <w:r>
        <w:t>,8.7</w:t>
      </w:r>
    </w:p>
    <w:p w14:paraId="2A854AC0" w14:textId="77777777" w:rsidR="00B52F46" w:rsidRDefault="00B52F46" w:rsidP="00B52F46">
      <w:r>
        <w:t>10,"Charlotte-Concord-Gastonia, NC-SC</w:t>
      </w:r>
      <w:proofErr w:type="gramStart"/>
      <w:r>
        <w:t>",NC</w:t>
      </w:r>
      <w:proofErr w:type="gramEnd"/>
      <w:r>
        <w:t>/SC,125000,48000,173000,56000,"Hickory, Shelby, Monroe, Rock Hill</w:t>
      </w:r>
      <w:proofErr w:type="gramStart"/>
      <w:r>
        <w:t>",South</w:t>
      </w:r>
      <w:proofErr w:type="gramEnd"/>
      <w:r>
        <w:t>,8.0</w:t>
      </w:r>
    </w:p>
    <w:p w14:paraId="56917034" w14:textId="77777777" w:rsidR="00B52F46" w:rsidRDefault="00B52F46" w:rsidP="00B52F46"/>
    <w:p w14:paraId="248A6D88" w14:textId="77777777" w:rsidR="00B52F46" w:rsidRDefault="00B52F46" w:rsidP="00B52F46">
      <w:r>
        <w:t>Summary Statistics:</w:t>
      </w:r>
    </w:p>
    <w:p w14:paraId="6D98D0CC" w14:textId="77777777" w:rsidR="00B52F46" w:rsidRDefault="00B52F46" w:rsidP="00B52F46">
      <w:r>
        <w:t xml:space="preserve">Total MSA </w:t>
      </w:r>
      <w:proofErr w:type="gramStart"/>
      <w:r>
        <w:t>Population:,</w:t>
      </w:r>
      <w:proofErr w:type="gramEnd"/>
      <w:r>
        <w:t>1853000</w:t>
      </w:r>
    </w:p>
    <w:p w14:paraId="1A8F0C83" w14:textId="77777777" w:rsidR="00B52F46" w:rsidRDefault="00B52F46" w:rsidP="00B52F46">
      <w:r>
        <w:t xml:space="preserve">Total Extended </w:t>
      </w:r>
      <w:proofErr w:type="gramStart"/>
      <w:r>
        <w:t>Population:,</w:t>
      </w:r>
      <w:proofErr w:type="gramEnd"/>
      <w:r>
        <w:t>630000</w:t>
      </w:r>
    </w:p>
    <w:p w14:paraId="7CDFAE5D" w14:textId="77777777" w:rsidR="00B52F46" w:rsidRDefault="00B52F46" w:rsidP="00B52F46">
      <w:r>
        <w:lastRenderedPageBreak/>
        <w:t xml:space="preserve">Combined Total </w:t>
      </w:r>
      <w:proofErr w:type="gramStart"/>
      <w:r>
        <w:t>Population:,</w:t>
      </w:r>
      <w:proofErr w:type="gramEnd"/>
      <w:r>
        <w:t>2483000</w:t>
      </w:r>
    </w:p>
    <w:p w14:paraId="2C312F81" w14:textId="77777777" w:rsidR="00B52F46" w:rsidRDefault="00B52F46" w:rsidP="00B52F46">
      <w:r>
        <w:t xml:space="preserve">Extended Area </w:t>
      </w:r>
      <w:proofErr w:type="gramStart"/>
      <w:r>
        <w:t>Increase:,</w:t>
      </w:r>
      <w:proofErr w:type="gramEnd"/>
      <w:r>
        <w:t>34%</w:t>
      </w:r>
    </w:p>
    <w:p w14:paraId="75F83C4E" w14:textId="77777777" w:rsidR="00B52F46" w:rsidRDefault="00B52F46" w:rsidP="00B52F46">
      <w:r>
        <w:t xml:space="preserve">Average Median </w:t>
      </w:r>
      <w:proofErr w:type="gramStart"/>
      <w:r>
        <w:t>Income:,</w:t>
      </w:r>
      <w:proofErr w:type="gramEnd"/>
      <w:r>
        <w:t>$60900</w:t>
      </w:r>
    </w:p>
    <w:p w14:paraId="4F2E7160" w14:textId="77777777" w:rsidR="00B52F46" w:rsidRDefault="00B52F46" w:rsidP="00B52F46">
      <w:r>
        <w:t xml:space="preserve">South Region </w:t>
      </w:r>
      <w:proofErr w:type="gramStart"/>
      <w:r>
        <w:t>Count:,</w:t>
      </w:r>
      <w:proofErr w:type="gramEnd"/>
      <w:r>
        <w:t>7</w:t>
      </w:r>
    </w:p>
    <w:p w14:paraId="43C03F39" w14:textId="77777777" w:rsidR="00B52F46" w:rsidRDefault="00B52F46" w:rsidP="00B52F46">
      <w:r>
        <w:t xml:space="preserve">Northeast Region </w:t>
      </w:r>
      <w:proofErr w:type="gramStart"/>
      <w:r>
        <w:t>Count:,</w:t>
      </w:r>
      <w:proofErr w:type="gramEnd"/>
      <w:r>
        <w:t>2</w:t>
      </w:r>
    </w:p>
    <w:p w14:paraId="29FF8E1B" w14:textId="41465542" w:rsidR="00B52F46" w:rsidRDefault="00B52F46" w:rsidP="00B52F46">
      <w:r>
        <w:t>Midwest Region Count:,1</w:t>
      </w:r>
    </w:p>
    <w:sectPr w:rsidR="00B52F46"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366B4"/>
    <w:multiLevelType w:val="multilevel"/>
    <w:tmpl w:val="C7CC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8696C"/>
    <w:multiLevelType w:val="multilevel"/>
    <w:tmpl w:val="67DC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16878">
    <w:abstractNumId w:val="0"/>
  </w:num>
  <w:num w:numId="2" w16cid:durableId="181747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F46"/>
    <w:rsid w:val="00035225"/>
    <w:rsid w:val="00215A64"/>
    <w:rsid w:val="008C7AA7"/>
    <w:rsid w:val="009F5B20"/>
    <w:rsid w:val="00A61488"/>
    <w:rsid w:val="00B52F46"/>
    <w:rsid w:val="00E45E03"/>
    <w:rsid w:val="00FD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32B4DF"/>
  <w15:chartTrackingRefBased/>
  <w15:docId w15:val="{EA03D403-AB5E-CE45-B078-E2D7F79AC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F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2F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2F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2F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2F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2F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F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F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F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F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2F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2F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2F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2F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2F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F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F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F46"/>
    <w:rPr>
      <w:rFonts w:eastAsiaTheme="majorEastAsia" w:cstheme="majorBidi"/>
      <w:color w:val="272727" w:themeColor="text1" w:themeTint="D8"/>
    </w:rPr>
  </w:style>
  <w:style w:type="paragraph" w:styleId="Title">
    <w:name w:val="Title"/>
    <w:basedOn w:val="Normal"/>
    <w:next w:val="Normal"/>
    <w:link w:val="TitleChar"/>
    <w:uiPriority w:val="10"/>
    <w:qFormat/>
    <w:rsid w:val="00B52F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F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F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F46"/>
    <w:pPr>
      <w:spacing w:before="160"/>
      <w:jc w:val="center"/>
    </w:pPr>
    <w:rPr>
      <w:i/>
      <w:iCs/>
      <w:color w:val="404040" w:themeColor="text1" w:themeTint="BF"/>
    </w:rPr>
  </w:style>
  <w:style w:type="character" w:customStyle="1" w:styleId="QuoteChar">
    <w:name w:val="Quote Char"/>
    <w:basedOn w:val="DefaultParagraphFont"/>
    <w:link w:val="Quote"/>
    <w:uiPriority w:val="29"/>
    <w:rsid w:val="00B52F46"/>
    <w:rPr>
      <w:i/>
      <w:iCs/>
      <w:color w:val="404040" w:themeColor="text1" w:themeTint="BF"/>
    </w:rPr>
  </w:style>
  <w:style w:type="paragraph" w:styleId="ListParagraph">
    <w:name w:val="List Paragraph"/>
    <w:basedOn w:val="Normal"/>
    <w:uiPriority w:val="34"/>
    <w:qFormat/>
    <w:rsid w:val="00B52F46"/>
    <w:pPr>
      <w:ind w:left="720"/>
      <w:contextualSpacing/>
    </w:pPr>
  </w:style>
  <w:style w:type="character" w:styleId="IntenseEmphasis">
    <w:name w:val="Intense Emphasis"/>
    <w:basedOn w:val="DefaultParagraphFont"/>
    <w:uiPriority w:val="21"/>
    <w:qFormat/>
    <w:rsid w:val="00B52F46"/>
    <w:rPr>
      <w:i/>
      <w:iCs/>
      <w:color w:val="0F4761" w:themeColor="accent1" w:themeShade="BF"/>
    </w:rPr>
  </w:style>
  <w:style w:type="paragraph" w:styleId="IntenseQuote">
    <w:name w:val="Intense Quote"/>
    <w:basedOn w:val="Normal"/>
    <w:next w:val="Normal"/>
    <w:link w:val="IntenseQuoteChar"/>
    <w:uiPriority w:val="30"/>
    <w:qFormat/>
    <w:rsid w:val="00B52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2F46"/>
    <w:rPr>
      <w:i/>
      <w:iCs/>
      <w:color w:val="0F4761" w:themeColor="accent1" w:themeShade="BF"/>
    </w:rPr>
  </w:style>
  <w:style w:type="character" w:styleId="IntenseReference">
    <w:name w:val="Intense Reference"/>
    <w:basedOn w:val="DefaultParagraphFont"/>
    <w:uiPriority w:val="32"/>
    <w:qFormat/>
    <w:rsid w:val="00B52F46"/>
    <w:rPr>
      <w:b/>
      <w:bCs/>
      <w:smallCaps/>
      <w:color w:val="0F4761" w:themeColor="accent1" w:themeShade="BF"/>
      <w:spacing w:val="5"/>
    </w:rPr>
  </w:style>
  <w:style w:type="paragraph" w:styleId="NormalWeb">
    <w:name w:val="Normal (Web)"/>
    <w:basedOn w:val="Normal"/>
    <w:uiPriority w:val="99"/>
    <w:semiHidden/>
    <w:unhideWhenUsed/>
    <w:rsid w:val="00B52F4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52F46"/>
    <w:rPr>
      <w:b/>
      <w:bCs/>
    </w:rPr>
  </w:style>
  <w:style w:type="character" w:customStyle="1" w:styleId="apple-converted-space">
    <w:name w:val="apple-converted-space"/>
    <w:basedOn w:val="DefaultParagraphFont"/>
    <w:rsid w:val="00B52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40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1</cp:revision>
  <dcterms:created xsi:type="dcterms:W3CDTF">2025-05-27T17:39:00Z</dcterms:created>
  <dcterms:modified xsi:type="dcterms:W3CDTF">2025-05-27T17:49:00Z</dcterms:modified>
</cp:coreProperties>
</file>