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A2647"/>
          <w:sz w:val="34"/>
          <w:szCs w:val="34"/>
        </w:rPr>
        <w:t xml:space="preserve">JAHNVI SONI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(+91) 9811110637   •   sonijahnvi437@gmail.com   •   linkedin.com/in/jahnvi-soni-a4706531a   •   New Delhi, India</w:t>
      </w:r>
    </w:p>
    <w:p>
      <w:pPr>
        <w:pBdr>
          <w:bottom w:val="single" w:color="0A264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0A2647"/>
          <w:spacing w:val="12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Project Trainee Intern  |  HDFC Bank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Jun 2025 – Jul 2025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Assisted with account opening, KYC compliance, and customer documentation — ensuring accuracy and regulatory adherence to RBI guidelines.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Operated core banking systems and digital tools, supporting daily branch operations at a high-volume branch with strong attention to detail.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client communication and relationship-handling skills through direct customer interaction and query resolution.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Public Relations Intern  |  Youth India Foundation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Mar 2025 – Jun 2025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Conducted targeted outreach to 5–6 NGOs pitching collaborative events aligned with youth empowerment and social impact.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Organized a seminar with two guest speakers, overseeing all logistics including onboarding, briefing, and pre-event coordination.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Maintained structured records of outreach, responses, and stakeholder communications across departments.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Marketing Intern  |  Experiences Digital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Jul 2024 – Sep 2024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Conducted a comprehensive market study on POS systems, analyzing capabilities, pricing, and applicability across business models to aid strategic decisions.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marketing strategies and managed online campaigns for BLYSK Jewels, a startup under Experiences Digital.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Collaborated with backend teams to test and enhance e-commerce platform functionality, proposing user-centric improvements.</w:t>
      </w:r>
    </w:p>
    <w:p>
      <w:pPr>
        <w:pBdr>
          <w:bottom w:val="single" w:color="0A264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0A2647"/>
          <w:spacing w:val="12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M.Com  —  Department of Commerce, University of Delhi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2026 – Present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B.Com (Honours)  —  Jesus and Mary College, University of Delhi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2022 – 2026  |  CGPA: 8.44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Class XII – Commerce (with Maths)  —  Mater Dei School, New Delhi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2021 – 2022  |  85%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Class X  —  Mater Dei School, New Delhi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2019 – 2020  |  87%</w:t>
      </w:r>
    </w:p>
    <w:p>
      <w:pPr>
        <w:pBdr>
          <w:bottom w:val="single" w:color="0A264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0A2647"/>
          <w:spacing w:val="12"/>
          <w:sz w:val="20"/>
          <w:szCs w:val="20"/>
        </w:rPr>
        <w:t xml:space="preserve">Projects &amp; Research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Research Dissertation  |  Jesus and Mary College, University of Delhi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Aug 2025 – Present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“Impact of Financial Influencers on Investment Decisions of Young Investors” — primary research covering financial literacy, behavioural biases, and investment patterns among 193 respondents across Delhi NCR.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Hospital ER Dashboard – Power BI  |  Independent Project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Mar 2025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Built an interactive Power BI dashboard analyzing hospital emergency room data — patient admissions, average wait times, department referrals, and patient demographics — to surface operational KPIs and admission trends.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Marketing Campaign Plan – Elegant Beauty Foundation  |  Group Project (with 2 peers)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2023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a complete 7Ps marketing mix strategy for a skincare foundation brand, covering product positioning, pricing, distribution channels, and promotion strategy.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Cohort-Based Finance Program  |  METVY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2024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Completed an intensive finance program developing strong financial literacy, accounting fundamentals, and practical implementation skills.</w:t>
      </w:r>
    </w:p>
    <w:p>
      <w:pPr>
        <w:pBdr>
          <w:bottom w:val="single" w:color="0A264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0A2647"/>
          <w:spacing w:val="12"/>
          <w:sz w:val="20"/>
          <w:szCs w:val="20"/>
        </w:rPr>
        <w:t xml:space="preserve">Leadership &amp; Co-Curricular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Organizing Head, Chanakya – The Economics Cell, JMC (Aug 2024 – Mar 2025) | Sub-Head, Sponsorship – Peace Society; Finance &amp; Investment Cell – Fintellect, JMC.</w:t>
      </w:r>
    </w:p>
    <w:p>
      <w:pPr>
        <w:spacing w:after="30"/>
        <w:ind w:left="260" w:hanging="1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Bronze Medal, Fencing – Khelo India (2024)  |  Best Student in Accountancy, Class XI (2021).</w:t>
      </w:r>
    </w:p>
    <w:p>
      <w:pPr>
        <w:pBdr>
          <w:bottom w:val="single" w:color="0A264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0A2647"/>
          <w:spacing w:val="12"/>
          <w:sz w:val="20"/>
          <w:szCs w:val="20"/>
        </w:rPr>
        <w:t xml:space="preserve">Skills &amp; Tools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A2647"/>
          <w:sz w:val="18"/>
          <w:szCs w:val="18"/>
        </w:rPr>
        <w:t xml:space="preserve">Technical Tools: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Microsoft Excel (VLOOKUP, SUMIF, Pivot Tables)  •  Power BI  •  MS Word  •  PowerPoint  •  Canva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A2647"/>
          <w:sz w:val="18"/>
          <w:szCs w:val="18"/>
        </w:rPr>
        <w:t xml:space="preserve">Core Skills: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Research &amp; Analytics  •  KYC &amp; Compliance  •  Financial Analysis  •  Attention to Detail  •  Leadership  •  Communication  •  Problem Solving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A2647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English (Fluent)  •  Hindi (Native)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A2647"/>
          <w:sz w:val="18"/>
          <w:szCs w:val="18"/>
        </w:rPr>
        <w:t xml:space="preserve">Interests: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Finance &amp; Investments  •  Business Analytics  •  Consulting  •  Research  •  Public Relations</w:t>
      </w:r>
    </w:p>
    <w:sectPr>
      <w:pgSz w:w="11906" w:h="16838" w:orient="portrait"/>
      <w:pgMar w:top="62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2026-09-11T19:33:54.022Z</dcterms:created>
  <dcterms:modified xsi:type="dcterms:W3CDTF">2026-09-11T19:33:54.034Z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