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QQ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2807867265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大数据开发工程师、Java开发工程师、服务器工程师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熟练使用数据结构，喜爱钻研机器算法并热衷于使用Java实现，大学本科期间写过一些小游戏（比如：带有AI功能的2048。链接地址：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val="en-US" w:eastAsia="zh-CN"/>
              </w:rPr>
              <w:instrText xml:space="preserve"> HYPERLINK "https://github.com/Jahvey/Game2048" </w:instrTex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宋体" w:hAnsi="宋体"/>
                <w:szCs w:val="21"/>
                <w:lang w:val="en-US" w:eastAsia="zh-CN"/>
              </w:rPr>
              <w:t>https://github.com/Jahvey/Game2048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编译和阅读过相关OpenJDK源代码，熟悉JVM调优，能够使用Visual VM分析Java堆信息，并截取Dump文件分析Tomcat OOM的原因；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熟悉Hive、HBase、Hadoop、Spark等开发组件，能熟练编写MR程序和Spark程序；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能够</w:t>
            </w:r>
            <w:r>
              <w:rPr>
                <w:rFonts w:hint="eastAsia" w:ascii="宋体" w:hAnsi="宋体"/>
                <w:szCs w:val="21"/>
              </w:rPr>
              <w:t>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.熟悉Tomcat应用服务器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,以及weblogic的安装和部署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.能够运用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大数据的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12.熟悉matlab、R等软件，大学期间参加过数学建模比赛，在四川省独立学院联赛中取得第二名的成绩；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13.熟悉jscharts等报表以及、highcharts图表工具，能够完成相应的业务逻辑；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项目经验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工作单位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2016.05-2017.06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成都国腾集团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大数据开发实习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建筑能耗分项计量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项目描述：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通过全成都范围内国家机关办公建筑和大型公共建筑消耗的主要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能源种类划分进行采集和整理的能耗数据（如：电、燃气、水等）采集到相应片区的数据采集器中，以加密的XML形式发送给Netty,然后由Netty来协调和处理和发送信息给spark receiver,进行数据的解密和校验解析。最后通过Spark Streaming 实时地将XML数据以满足政府要求的数据结构格式存入HBASE中（解决磁盘IO的瓶颈问题）。</w:t>
            </w:r>
          </w:p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责任描述：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1.负责用Spark Streaming将XML数据存入HBASE中保存。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2.提出解决磁盘IO性能瓶颈的解决方案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3.优化hbase的写/读性能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2016.12-2017.07</w:t>
            </w: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成都学院</w:t>
            </w: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本科毕业设计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Spark电影推荐系统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推荐系统算法建模流程：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1.用户输入相关算法参数后，点击建模；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2.后台RunALS Servlet获取提交的算法参数，封装Spark ALS算法，然后提交给YARN；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3.YARN在分配了相关资源后，会返回一个任务ID：applicationID，这时启动一个线程，专门获取该applicationId的任务进度，更新全局allAppStatus变量（Map变量&lt;applicationId,任务状态&gt;），后台返回前台此applicationId；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4.前台获取到此applicationId后，如果获取的applicationId为Null，那么就会弹出一个模态框提示建模提交任务失败；否则，会弹出一个进度条模态框；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5.前台启动定时任务，去后台获取全局allAppStatus变量对应applicationId的状态，再将相应的状态结果返回至前台，采用Ajax异步更新进度条模态框对应进度；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szCs w:val="21"/>
              </w:rPr>
              <w:t>能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够</w:t>
            </w:r>
            <w:r>
              <w:rPr>
                <w:rFonts w:hint="eastAsia" w:ascii="宋体" w:hAnsi="宋体"/>
                <w:szCs w:val="21"/>
              </w:rPr>
              <w:t>承受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相对应的</w:t>
            </w:r>
            <w:r>
              <w:rPr>
                <w:rFonts w:hint="eastAsia" w:ascii="宋体" w:hAnsi="宋体"/>
                <w:szCs w:val="21"/>
              </w:rPr>
              <w:t>工作压力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ACF9F"/>
    <w:multiLevelType w:val="singleLevel"/>
    <w:tmpl w:val="DBAAC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5C25B07"/>
    <w:rsid w:val="07E72978"/>
    <w:rsid w:val="0A806D94"/>
    <w:rsid w:val="0B403223"/>
    <w:rsid w:val="0BDB5156"/>
    <w:rsid w:val="0DCC533F"/>
    <w:rsid w:val="11085BD7"/>
    <w:rsid w:val="11647DCD"/>
    <w:rsid w:val="117A4E09"/>
    <w:rsid w:val="137F1F78"/>
    <w:rsid w:val="13CE7252"/>
    <w:rsid w:val="16B3051E"/>
    <w:rsid w:val="178D616F"/>
    <w:rsid w:val="19DD1D80"/>
    <w:rsid w:val="1E5900C4"/>
    <w:rsid w:val="28E104E1"/>
    <w:rsid w:val="2A051238"/>
    <w:rsid w:val="2F8D4021"/>
    <w:rsid w:val="3123683A"/>
    <w:rsid w:val="338611C8"/>
    <w:rsid w:val="339B47F1"/>
    <w:rsid w:val="356D18B9"/>
    <w:rsid w:val="375D6638"/>
    <w:rsid w:val="39355652"/>
    <w:rsid w:val="396C4B94"/>
    <w:rsid w:val="3EB611A9"/>
    <w:rsid w:val="426D6318"/>
    <w:rsid w:val="48B747BF"/>
    <w:rsid w:val="4CE825B5"/>
    <w:rsid w:val="4D580451"/>
    <w:rsid w:val="520B1074"/>
    <w:rsid w:val="5D4D1AC4"/>
    <w:rsid w:val="5D975545"/>
    <w:rsid w:val="5FBA2AF6"/>
    <w:rsid w:val="60D85297"/>
    <w:rsid w:val="66696108"/>
    <w:rsid w:val="67477519"/>
    <w:rsid w:val="68547D35"/>
    <w:rsid w:val="68931FC5"/>
    <w:rsid w:val="6F8E181A"/>
    <w:rsid w:val="73DD7377"/>
    <w:rsid w:val="7CFD1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2018-01-17T10:34:40Z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