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4608"/>
      </w:tblGrid>
      <w:tr w:rsidR="00D62BFF" w:rsidRPr="00161082" w14:paraId="00CE4324" w14:textId="77777777" w:rsidTr="007B3F15">
        <w:trPr>
          <w:trHeight w:val="282"/>
        </w:trPr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AFE17A" w14:textId="77777777" w:rsidR="00D62BFF" w:rsidRPr="00161082" w:rsidRDefault="00D62BFF" w:rsidP="007B3F15">
            <w:r>
              <w:rPr>
                <w:rFonts w:ascii="宋体" w:hAnsi="宋体"/>
                <w:b/>
                <w:color w:val="000000"/>
              </w:rPr>
              <w:t>组合名称</w:t>
            </w:r>
          </w:p>
        </w:tc>
        <w:tc>
          <w:tcPr>
            <w:tcW w:w="4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69D99E" w14:textId="77777777" w:rsidR="00D62BFF" w:rsidRPr="00161082" w:rsidRDefault="00D62BFF" w:rsidP="007B3F15">
            <w:pPr>
              <w:jc w:val="right"/>
            </w:pPr>
            <w:r>
              <w:rPr>
                <w:rFonts w:ascii="宋体" w:hAnsi="宋体"/>
                <w:color w:val="000000"/>
              </w:rPr>
              <w:t>(</w:t>
            </w:r>
            <w:proofErr w:type="spellStart"/>
            <w:r>
              <w:rPr>
                <w:rFonts w:ascii="宋体" w:hAnsi="宋体"/>
                <w:color w:val="000000"/>
              </w:rPr>
              <w:t>p</w:t>
            </w:r>
            <w:r w:rsidRPr="00027F25">
              <w:rPr>
                <w:rFonts w:ascii="宋体" w:hAnsi="宋体"/>
                <w:color w:val="000000"/>
              </w:rPr>
              <w:t>ortName</w:t>
            </w:r>
            <w:proofErr w:type="spellEnd"/>
            <w:r>
              <w:rPr>
                <w:rFonts w:ascii="宋体" w:hAnsi="宋体"/>
                <w:color w:val="000000"/>
              </w:rPr>
              <w:t>)</w:t>
            </w:r>
          </w:p>
        </w:tc>
      </w:tr>
      <w:tr w:rsidR="00D62BFF" w:rsidRPr="00161082" w14:paraId="23AEC85D" w14:textId="77777777" w:rsidTr="007B3F15">
        <w:trPr>
          <w:trHeight w:val="282"/>
        </w:trPr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F26D29" w14:textId="77777777" w:rsidR="00D62BFF" w:rsidRPr="00161082" w:rsidRDefault="00D62BFF" w:rsidP="007B3F15">
            <w:r>
              <w:rPr>
                <w:rFonts w:ascii="宋体" w:hAnsi="宋体"/>
                <w:b/>
                <w:color w:val="000000"/>
              </w:rPr>
              <w:t>成立日期</w:t>
            </w:r>
          </w:p>
        </w:tc>
        <w:tc>
          <w:tcPr>
            <w:tcW w:w="4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527067" w14:textId="77777777" w:rsidR="00D62BFF" w:rsidRPr="00161082" w:rsidRDefault="00D62BFF" w:rsidP="007B3F15">
            <w:pPr>
              <w:jc w:val="right"/>
            </w:pPr>
            <w:r>
              <w:rPr>
                <w:rFonts w:ascii="宋体" w:hAnsi="宋体"/>
                <w:color w:val="000000"/>
              </w:rPr>
              <w:t>(</w:t>
            </w:r>
            <w:proofErr w:type="spellStart"/>
            <w:r>
              <w:rPr>
                <w:rFonts w:ascii="宋体" w:hAnsi="宋体"/>
                <w:color w:val="000000"/>
              </w:rPr>
              <w:t>bornDate</w:t>
            </w:r>
            <w:proofErr w:type="spellEnd"/>
            <w:r>
              <w:rPr>
                <w:rFonts w:ascii="宋体" w:hAnsi="宋体"/>
                <w:color w:val="000000"/>
              </w:rPr>
              <w:t>)</w:t>
            </w:r>
          </w:p>
        </w:tc>
      </w:tr>
      <w:tr w:rsidR="00D62BFF" w:rsidRPr="00161082" w14:paraId="3482A691" w14:textId="77777777" w:rsidTr="007B3F15">
        <w:trPr>
          <w:trHeight w:val="282"/>
        </w:trPr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49610C" w14:textId="77777777" w:rsidR="00D62BFF" w:rsidRPr="00161082" w:rsidRDefault="00D62BFF" w:rsidP="007B3F15">
            <w:r>
              <w:rPr>
                <w:rFonts w:ascii="宋体" w:hAnsi="宋体"/>
                <w:b/>
                <w:color w:val="000000"/>
              </w:rPr>
              <w:t>投资管理人</w:t>
            </w:r>
          </w:p>
        </w:tc>
        <w:tc>
          <w:tcPr>
            <w:tcW w:w="4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1CAF6D" w14:textId="77777777" w:rsidR="00D62BFF" w:rsidRPr="00161082" w:rsidRDefault="00D62BFF" w:rsidP="007B3F15">
            <w:pPr>
              <w:jc w:val="right"/>
            </w:pPr>
            <w:r>
              <w:rPr>
                <w:rFonts w:ascii="宋体" w:hAnsi="宋体"/>
                <w:color w:val="000000"/>
              </w:rPr>
              <w:t>(</w:t>
            </w:r>
            <w:proofErr w:type="spellStart"/>
            <w:r>
              <w:rPr>
                <w:rFonts w:ascii="宋体" w:hAnsi="宋体"/>
                <w:color w:val="000000"/>
              </w:rPr>
              <w:t>managerName</w:t>
            </w:r>
            <w:proofErr w:type="spellEnd"/>
            <w:r>
              <w:rPr>
                <w:rFonts w:ascii="宋体" w:hAnsi="宋体"/>
                <w:color w:val="000000"/>
              </w:rPr>
              <w:t>)</w:t>
            </w:r>
          </w:p>
        </w:tc>
      </w:tr>
      <w:tr w:rsidR="00D62BFF" w:rsidRPr="00161082" w14:paraId="7A7EF8CA" w14:textId="77777777" w:rsidTr="007B3F15">
        <w:trPr>
          <w:trHeight w:val="282"/>
        </w:trPr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3CDB79" w14:textId="77777777" w:rsidR="00D62BFF" w:rsidRPr="00161082" w:rsidRDefault="00D62BFF" w:rsidP="007B3F15">
            <w:r>
              <w:rPr>
                <w:rFonts w:ascii="宋体" w:hAnsi="宋体"/>
                <w:b/>
                <w:color w:val="000000"/>
              </w:rPr>
              <w:t>期初资产净值</w:t>
            </w:r>
            <w:r>
              <w:rPr>
                <w:rFonts w:ascii="宋体" w:hAnsi="宋体"/>
                <w:b/>
                <w:color w:val="000000"/>
              </w:rPr>
              <w:t>(</w:t>
            </w:r>
            <w:r>
              <w:rPr>
                <w:rFonts w:ascii="宋体" w:hAnsi="宋体"/>
                <w:b/>
                <w:color w:val="000000"/>
              </w:rPr>
              <w:t>元</w:t>
            </w:r>
            <w:r>
              <w:rPr>
                <w:rFonts w:ascii="宋体" w:hAnsi="宋体"/>
                <w:b/>
                <w:color w:val="000000"/>
              </w:rPr>
              <w:t>)</w:t>
            </w:r>
          </w:p>
        </w:tc>
        <w:tc>
          <w:tcPr>
            <w:tcW w:w="4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BC7FC9" w14:textId="77777777" w:rsidR="00D62BFF" w:rsidRPr="00161082" w:rsidRDefault="00D62BFF" w:rsidP="007B3F15">
            <w:pPr>
              <w:jc w:val="right"/>
            </w:pPr>
            <w:r>
              <w:rPr>
                <w:rFonts w:ascii="宋体" w:hAnsi="宋体"/>
                <w:color w:val="000000"/>
              </w:rPr>
              <w:t>(</w:t>
            </w:r>
            <w:proofErr w:type="spellStart"/>
            <w:r>
              <w:rPr>
                <w:rFonts w:ascii="宋体" w:hAnsi="宋体"/>
                <w:color w:val="000000"/>
              </w:rPr>
              <w:t>netAssetsOfBegin</w:t>
            </w:r>
            <w:proofErr w:type="spellEnd"/>
            <w:r>
              <w:rPr>
                <w:rFonts w:ascii="宋体" w:hAnsi="宋体"/>
                <w:color w:val="000000"/>
              </w:rPr>
              <w:t>)</w:t>
            </w:r>
          </w:p>
        </w:tc>
      </w:tr>
      <w:tr w:rsidR="00D62BFF" w:rsidRPr="00161082" w14:paraId="4743C7D2" w14:textId="77777777" w:rsidTr="007B3F15">
        <w:trPr>
          <w:trHeight w:val="282"/>
        </w:trPr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1B551E" w14:textId="77777777" w:rsidR="00D62BFF" w:rsidRPr="00161082" w:rsidRDefault="00D62BFF" w:rsidP="007B3F15">
            <w:r>
              <w:rPr>
                <w:rFonts w:ascii="宋体" w:hAnsi="宋体"/>
                <w:b/>
                <w:color w:val="000000"/>
              </w:rPr>
              <w:t>期</w:t>
            </w:r>
            <w:proofErr w:type="gramStart"/>
            <w:r>
              <w:rPr>
                <w:rFonts w:ascii="宋体" w:hAnsi="宋体"/>
                <w:b/>
                <w:color w:val="000000"/>
              </w:rPr>
              <w:t>初单位</w:t>
            </w:r>
            <w:proofErr w:type="gramEnd"/>
            <w:r>
              <w:rPr>
                <w:rFonts w:ascii="宋体" w:hAnsi="宋体"/>
                <w:b/>
                <w:color w:val="000000"/>
              </w:rPr>
              <w:t>净值</w:t>
            </w:r>
            <w:r>
              <w:rPr>
                <w:rFonts w:ascii="宋体" w:hAnsi="宋体"/>
                <w:b/>
                <w:color w:val="000000"/>
              </w:rPr>
              <w:t>(</w:t>
            </w:r>
            <w:r>
              <w:rPr>
                <w:rFonts w:ascii="宋体" w:hAnsi="宋体"/>
                <w:b/>
                <w:color w:val="000000"/>
              </w:rPr>
              <w:t>元</w:t>
            </w:r>
            <w:r>
              <w:rPr>
                <w:rFonts w:ascii="宋体" w:hAnsi="宋体"/>
                <w:b/>
                <w:color w:val="000000"/>
              </w:rPr>
              <w:t>)</w:t>
            </w:r>
          </w:p>
        </w:tc>
        <w:tc>
          <w:tcPr>
            <w:tcW w:w="4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9D43ED" w14:textId="77777777" w:rsidR="00D62BFF" w:rsidRPr="00161082" w:rsidRDefault="00D62BFF" w:rsidP="007B3F15">
            <w:pPr>
              <w:jc w:val="right"/>
            </w:pPr>
            <w:r>
              <w:rPr>
                <w:rFonts w:ascii="宋体" w:hAnsi="宋体"/>
                <w:color w:val="000000"/>
              </w:rPr>
              <w:t>(</w:t>
            </w:r>
            <w:proofErr w:type="spellStart"/>
            <w:r>
              <w:rPr>
                <w:rFonts w:ascii="宋体" w:hAnsi="宋体"/>
                <w:color w:val="000000"/>
              </w:rPr>
              <w:t>unitNetOfBegin</w:t>
            </w:r>
            <w:proofErr w:type="spellEnd"/>
            <w:r>
              <w:rPr>
                <w:rFonts w:ascii="宋体" w:hAnsi="宋体"/>
                <w:color w:val="000000"/>
              </w:rPr>
              <w:t>)</w:t>
            </w:r>
          </w:p>
        </w:tc>
      </w:tr>
      <w:tr w:rsidR="00D62BFF" w:rsidRPr="00161082" w14:paraId="40CA3763" w14:textId="77777777" w:rsidTr="007B3F15">
        <w:trPr>
          <w:trHeight w:val="282"/>
        </w:trPr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558C46" w14:textId="77777777" w:rsidR="00D62BFF" w:rsidRPr="00161082" w:rsidRDefault="00D62BFF" w:rsidP="007B3F15">
            <w:r>
              <w:rPr>
                <w:rFonts w:ascii="宋体" w:hAnsi="宋体"/>
                <w:b/>
                <w:color w:val="000000"/>
              </w:rPr>
              <w:t>期末资产净值</w:t>
            </w:r>
            <w:r>
              <w:rPr>
                <w:rFonts w:ascii="宋体" w:hAnsi="宋体"/>
                <w:b/>
                <w:color w:val="000000"/>
              </w:rPr>
              <w:t>(</w:t>
            </w:r>
            <w:r>
              <w:rPr>
                <w:rFonts w:ascii="宋体" w:hAnsi="宋体"/>
                <w:b/>
                <w:color w:val="000000"/>
              </w:rPr>
              <w:t>元</w:t>
            </w:r>
            <w:r>
              <w:rPr>
                <w:rFonts w:ascii="宋体" w:hAnsi="宋体"/>
                <w:b/>
                <w:color w:val="000000"/>
              </w:rPr>
              <w:t>)</w:t>
            </w:r>
          </w:p>
        </w:tc>
        <w:tc>
          <w:tcPr>
            <w:tcW w:w="4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F309C3" w14:textId="77777777" w:rsidR="00D62BFF" w:rsidRPr="00161082" w:rsidRDefault="00D62BFF" w:rsidP="007B3F15">
            <w:pPr>
              <w:jc w:val="right"/>
            </w:pPr>
            <w:r>
              <w:rPr>
                <w:rFonts w:ascii="宋体" w:hAnsi="宋体"/>
                <w:color w:val="000000"/>
              </w:rPr>
              <w:t>(</w:t>
            </w:r>
            <w:proofErr w:type="spellStart"/>
            <w:r>
              <w:rPr>
                <w:rFonts w:ascii="宋体" w:hAnsi="宋体"/>
                <w:color w:val="000000"/>
              </w:rPr>
              <w:t>netAssetsOfEnd</w:t>
            </w:r>
            <w:proofErr w:type="spellEnd"/>
            <w:r>
              <w:rPr>
                <w:rFonts w:ascii="宋体" w:hAnsi="宋体"/>
                <w:color w:val="000000"/>
              </w:rPr>
              <w:t>)</w:t>
            </w:r>
          </w:p>
        </w:tc>
      </w:tr>
      <w:tr w:rsidR="00D62BFF" w:rsidRPr="00161082" w14:paraId="110252E8" w14:textId="77777777" w:rsidTr="007B3F15">
        <w:trPr>
          <w:trHeight w:val="282"/>
        </w:trPr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BB97A0" w14:textId="77777777" w:rsidR="00D62BFF" w:rsidRPr="00161082" w:rsidRDefault="00D62BFF" w:rsidP="007B3F15">
            <w:r>
              <w:rPr>
                <w:rFonts w:ascii="宋体" w:hAnsi="宋体"/>
                <w:b/>
                <w:color w:val="000000"/>
              </w:rPr>
              <w:t>期末单位净值</w:t>
            </w:r>
            <w:r>
              <w:rPr>
                <w:rFonts w:ascii="宋体" w:hAnsi="宋体"/>
                <w:b/>
                <w:color w:val="000000"/>
              </w:rPr>
              <w:t>(</w:t>
            </w:r>
            <w:r>
              <w:rPr>
                <w:rFonts w:ascii="宋体" w:hAnsi="宋体"/>
                <w:b/>
                <w:color w:val="000000"/>
              </w:rPr>
              <w:t>元</w:t>
            </w:r>
            <w:r>
              <w:rPr>
                <w:rFonts w:ascii="宋体" w:hAnsi="宋体"/>
                <w:b/>
                <w:color w:val="000000"/>
              </w:rPr>
              <w:t>)</w:t>
            </w:r>
          </w:p>
        </w:tc>
        <w:tc>
          <w:tcPr>
            <w:tcW w:w="4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B4AA9E" w14:textId="77777777" w:rsidR="00D62BFF" w:rsidRPr="00161082" w:rsidRDefault="00D62BFF" w:rsidP="007B3F15">
            <w:pPr>
              <w:jc w:val="right"/>
            </w:pPr>
            <w:r>
              <w:rPr>
                <w:rFonts w:ascii="宋体" w:hAnsi="宋体"/>
                <w:color w:val="000000"/>
              </w:rPr>
              <w:t>(</w:t>
            </w:r>
            <w:proofErr w:type="spellStart"/>
            <w:r>
              <w:rPr>
                <w:rFonts w:ascii="宋体" w:hAnsi="宋体"/>
                <w:color w:val="000000"/>
              </w:rPr>
              <w:t>unitNetOfEnd</w:t>
            </w:r>
            <w:proofErr w:type="spellEnd"/>
            <w:r>
              <w:rPr>
                <w:rFonts w:ascii="宋体" w:hAnsi="宋体"/>
                <w:color w:val="000000"/>
              </w:rPr>
              <w:t>)</w:t>
            </w:r>
          </w:p>
        </w:tc>
      </w:tr>
      <w:tr w:rsidR="00D62BFF" w:rsidRPr="00161082" w14:paraId="572BBBF3" w14:textId="77777777" w:rsidTr="007B3F15">
        <w:trPr>
          <w:trHeight w:val="282"/>
        </w:trPr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334A27" w14:textId="77777777" w:rsidR="00D62BFF" w:rsidRPr="003E2109" w:rsidRDefault="00D62BFF" w:rsidP="007B3F15">
            <w:pPr>
              <w:rPr>
                <w:highlight w:val="yellow"/>
              </w:rPr>
            </w:pPr>
            <w:r w:rsidRPr="003E2109">
              <w:rPr>
                <w:rFonts w:ascii="宋体" w:hAnsi="宋体"/>
                <w:b/>
                <w:color w:val="000000"/>
                <w:highlight w:val="yellow"/>
              </w:rPr>
              <w:t>本期组合收益率</w:t>
            </w:r>
            <w:r w:rsidRPr="003E2109">
              <w:rPr>
                <w:rFonts w:ascii="宋体" w:hAnsi="宋体"/>
                <w:b/>
                <w:color w:val="000000"/>
                <w:highlight w:val="yellow"/>
              </w:rPr>
              <w:t>(%)</w:t>
            </w:r>
          </w:p>
        </w:tc>
        <w:tc>
          <w:tcPr>
            <w:tcW w:w="4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B072AA" w14:textId="77777777" w:rsidR="00D62BFF" w:rsidRPr="003E2109" w:rsidRDefault="00D62BFF" w:rsidP="007B3F15">
            <w:pPr>
              <w:jc w:val="right"/>
              <w:rPr>
                <w:highlight w:val="yellow"/>
              </w:rPr>
            </w:pPr>
            <w:r>
              <w:rPr>
                <w:rFonts w:ascii="宋体" w:hAnsi="宋体"/>
                <w:color w:val="000000"/>
                <w:highlight w:val="yellow"/>
              </w:rPr>
              <w:t>(</w:t>
            </w:r>
            <w:proofErr w:type="spellStart"/>
            <w:r>
              <w:rPr>
                <w:rFonts w:ascii="宋体" w:hAnsi="宋体"/>
                <w:color w:val="000000"/>
                <w:highlight w:val="yellow"/>
              </w:rPr>
              <w:t>currentReturnRateOfPort</w:t>
            </w:r>
            <w:proofErr w:type="spellEnd"/>
            <w:r>
              <w:rPr>
                <w:rFonts w:ascii="宋体" w:hAnsi="宋体"/>
                <w:color w:val="000000"/>
                <w:highlight w:val="yellow"/>
              </w:rPr>
              <w:t>)</w:t>
            </w:r>
          </w:p>
        </w:tc>
      </w:tr>
      <w:tr w:rsidR="00D62BFF" w:rsidRPr="003E2109" w14:paraId="5EB39320" w14:textId="77777777" w:rsidTr="007B3F15">
        <w:trPr>
          <w:trHeight w:val="282"/>
        </w:trPr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D62B19" w14:textId="77777777" w:rsidR="00D62BFF" w:rsidRPr="003E2109" w:rsidRDefault="00D62BFF" w:rsidP="007B3F15">
            <w:pPr>
              <w:rPr>
                <w:highlight w:val="red"/>
              </w:rPr>
            </w:pPr>
            <w:r w:rsidRPr="003E2109">
              <w:rPr>
                <w:rFonts w:ascii="宋体" w:hAnsi="宋体"/>
                <w:b/>
                <w:color w:val="000000"/>
                <w:highlight w:val="red"/>
              </w:rPr>
              <w:t>业绩基准</w:t>
            </w:r>
          </w:p>
        </w:tc>
        <w:tc>
          <w:tcPr>
            <w:tcW w:w="4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404569" w14:textId="77777777" w:rsidR="00D62BFF" w:rsidRPr="00E17BC9" w:rsidRDefault="00D62BFF" w:rsidP="007B3F15">
            <w:pPr>
              <w:jc w:val="right"/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(</w:t>
            </w:r>
            <w:proofErr w:type="spellStart"/>
            <w:r>
              <w:rPr>
                <w:highlight w:val="red"/>
              </w:rPr>
              <w:t>benchmarkOfPort</w:t>
            </w:r>
            <w:proofErr w:type="spellEnd"/>
            <w:r>
              <w:rPr>
                <w:highlight w:val="red"/>
              </w:rPr>
              <w:t>)</w:t>
            </w:r>
          </w:p>
        </w:tc>
      </w:tr>
      <w:tr w:rsidR="00D62BFF" w:rsidRPr="00161082" w14:paraId="11D958CB" w14:textId="77777777" w:rsidTr="007B3F15">
        <w:trPr>
          <w:trHeight w:val="282"/>
        </w:trPr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20257E" w14:textId="77777777" w:rsidR="00D62BFF" w:rsidRPr="003E2109" w:rsidRDefault="00D62BFF" w:rsidP="007B3F15">
            <w:pPr>
              <w:rPr>
                <w:highlight w:val="yellow"/>
              </w:rPr>
            </w:pPr>
            <w:r w:rsidRPr="003E2109">
              <w:rPr>
                <w:rFonts w:ascii="宋体" w:hAnsi="宋体"/>
                <w:b/>
                <w:color w:val="000000"/>
                <w:highlight w:val="yellow"/>
              </w:rPr>
              <w:t>本期基准收益率</w:t>
            </w:r>
            <w:r w:rsidRPr="003E2109">
              <w:rPr>
                <w:rFonts w:ascii="宋体" w:hAnsi="宋体"/>
                <w:b/>
                <w:color w:val="000000"/>
                <w:highlight w:val="yellow"/>
              </w:rPr>
              <w:t>(%)</w:t>
            </w:r>
          </w:p>
        </w:tc>
        <w:tc>
          <w:tcPr>
            <w:tcW w:w="4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4B17B5" w14:textId="77777777" w:rsidR="00D62BFF" w:rsidRPr="003E2109" w:rsidRDefault="00D62BFF" w:rsidP="007B3F15">
            <w:pPr>
              <w:jc w:val="right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benchmarkReturnRateOfPort</w:t>
            </w:r>
            <w:proofErr w:type="spellEnd"/>
          </w:p>
        </w:tc>
      </w:tr>
    </w:tbl>
    <w:p w14:paraId="3EF5A51E" w14:textId="01BB5A19" w:rsidR="00856BC8" w:rsidRDefault="00856BC8"/>
    <w:p w14:paraId="0B7C2DED" w14:textId="35FAA375" w:rsidR="00D62BFF" w:rsidRDefault="00D62BFF"/>
    <w:p w14:paraId="6B5D9F7A" w14:textId="01BBF007" w:rsidR="00D62BFF" w:rsidRDefault="00D62BFF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2160"/>
        <w:gridCol w:w="1800"/>
        <w:gridCol w:w="1440"/>
        <w:gridCol w:w="1440"/>
        <w:gridCol w:w="1440"/>
        <w:gridCol w:w="1440"/>
        <w:gridCol w:w="1440"/>
      </w:tblGrid>
      <w:tr w:rsidR="00D62BFF" w:rsidRPr="00161082" w14:paraId="5A51A389" w14:textId="77777777" w:rsidTr="007B3F15">
        <w:trPr>
          <w:trHeight w:val="282"/>
        </w:trPr>
        <w:tc>
          <w:tcPr>
            <w:tcW w:w="108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046378" w14:textId="77777777" w:rsidR="00D62BFF" w:rsidRPr="00161082" w:rsidRDefault="00D62BFF" w:rsidP="007B3F15">
            <w:pPr>
              <w:jc w:val="center"/>
            </w:pPr>
            <w:r>
              <w:rPr>
                <w:rFonts w:ascii="宋体" w:hAnsi="宋体"/>
                <w:b/>
                <w:color w:val="000000"/>
              </w:rPr>
              <w:t>序号</w:t>
            </w:r>
          </w:p>
        </w:tc>
        <w:tc>
          <w:tcPr>
            <w:tcW w:w="216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68E4C8" w14:textId="77777777" w:rsidR="00D62BFF" w:rsidRPr="00161082" w:rsidRDefault="00D62BFF" w:rsidP="007B3F15">
            <w:pPr>
              <w:jc w:val="center"/>
            </w:pPr>
            <w:r>
              <w:rPr>
                <w:rFonts w:ascii="宋体" w:hAnsi="宋体"/>
                <w:b/>
                <w:color w:val="000000"/>
              </w:rPr>
              <w:t>行业类别</w:t>
            </w:r>
          </w:p>
        </w:tc>
        <w:tc>
          <w:tcPr>
            <w:tcW w:w="180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1DC5F8" w14:textId="77777777" w:rsidR="00D62BFF" w:rsidRPr="00161082" w:rsidRDefault="00D62BFF" w:rsidP="007B3F15">
            <w:pPr>
              <w:jc w:val="center"/>
            </w:pPr>
            <w:r>
              <w:rPr>
                <w:rFonts w:ascii="宋体" w:hAnsi="宋体"/>
                <w:b/>
                <w:color w:val="000000"/>
              </w:rPr>
              <w:t>期末市值</w:t>
            </w:r>
            <w:r>
              <w:rPr>
                <w:rFonts w:ascii="宋体" w:hAnsi="宋体"/>
                <w:b/>
                <w:color w:val="000000"/>
              </w:rPr>
              <w:t xml:space="preserve"> (</w:t>
            </w:r>
            <w:r>
              <w:rPr>
                <w:rFonts w:ascii="宋体" w:hAnsi="宋体"/>
                <w:b/>
                <w:color w:val="000000"/>
              </w:rPr>
              <w:t>元</w:t>
            </w:r>
            <w:r>
              <w:rPr>
                <w:rFonts w:ascii="宋体" w:hAnsi="宋体"/>
                <w:b/>
                <w:color w:val="000000"/>
              </w:rPr>
              <w:t>)</w:t>
            </w:r>
          </w:p>
        </w:tc>
        <w:tc>
          <w:tcPr>
            <w:tcW w:w="7200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407192" w14:textId="77777777" w:rsidR="00D62BFF" w:rsidRPr="00161082" w:rsidRDefault="00D62BFF" w:rsidP="007B3F15">
            <w:pPr>
              <w:jc w:val="center"/>
            </w:pPr>
            <w:r>
              <w:rPr>
                <w:rFonts w:ascii="宋体" w:hAnsi="宋体"/>
                <w:b/>
                <w:color w:val="000000"/>
              </w:rPr>
              <w:t>投资比例（</w:t>
            </w:r>
            <w:r>
              <w:rPr>
                <w:rFonts w:ascii="宋体" w:hAnsi="宋体"/>
                <w:b/>
                <w:color w:val="000000"/>
              </w:rPr>
              <w:t>%</w:t>
            </w:r>
            <w:r>
              <w:rPr>
                <w:rFonts w:ascii="宋体" w:hAnsi="宋体"/>
                <w:b/>
                <w:color w:val="000000"/>
              </w:rPr>
              <w:t>）</w:t>
            </w:r>
          </w:p>
        </w:tc>
      </w:tr>
      <w:tr w:rsidR="00D62BFF" w:rsidRPr="00161082" w14:paraId="0387825D" w14:textId="77777777" w:rsidTr="007B3F15">
        <w:trPr>
          <w:trHeight w:val="282"/>
        </w:trPr>
        <w:tc>
          <w:tcPr>
            <w:tcW w:w="1080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FBB324" w14:textId="77777777" w:rsidR="00D62BFF" w:rsidRPr="00161082" w:rsidRDefault="00D62BFF" w:rsidP="007B3F15"/>
        </w:tc>
        <w:tc>
          <w:tcPr>
            <w:tcW w:w="2160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141391" w14:textId="77777777" w:rsidR="00D62BFF" w:rsidRPr="00161082" w:rsidRDefault="00D62BFF" w:rsidP="007B3F15"/>
        </w:tc>
        <w:tc>
          <w:tcPr>
            <w:tcW w:w="1800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3F70F4" w14:textId="77777777" w:rsidR="00D62BFF" w:rsidRPr="00161082" w:rsidRDefault="00D62BFF" w:rsidP="007B3F15"/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DCFADB" w14:textId="77777777" w:rsidR="00D62BFF" w:rsidRPr="00161082" w:rsidRDefault="00D62BFF" w:rsidP="007B3F15">
            <w:pPr>
              <w:jc w:val="center"/>
            </w:pPr>
            <w:r>
              <w:rPr>
                <w:rFonts w:ascii="宋体" w:hAnsi="宋体"/>
                <w:b/>
                <w:color w:val="000000"/>
              </w:rPr>
              <w:t>组合期末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90A8EE" w14:textId="77777777" w:rsidR="00D62BFF" w:rsidRPr="00161082" w:rsidRDefault="00D62BFF" w:rsidP="007B3F15">
            <w:pPr>
              <w:jc w:val="center"/>
            </w:pPr>
            <w:r>
              <w:rPr>
                <w:rFonts w:ascii="宋体" w:hAnsi="宋体"/>
                <w:b/>
                <w:color w:val="000000"/>
              </w:rPr>
              <w:t>基准期末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AD9896" w14:textId="77777777" w:rsidR="00D62BFF" w:rsidRPr="00161082" w:rsidRDefault="00D62BFF" w:rsidP="007B3F15">
            <w:pPr>
              <w:jc w:val="center"/>
            </w:pPr>
            <w:r>
              <w:rPr>
                <w:rFonts w:ascii="宋体" w:hAnsi="宋体"/>
                <w:b/>
                <w:color w:val="000000"/>
              </w:rPr>
              <w:t>超额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C3A270" w14:textId="77777777" w:rsidR="00D62BFF" w:rsidRPr="00161082" w:rsidRDefault="00D62BFF" w:rsidP="007B3F15">
            <w:pPr>
              <w:jc w:val="center"/>
            </w:pPr>
            <w:r>
              <w:rPr>
                <w:rFonts w:ascii="宋体" w:hAnsi="宋体"/>
                <w:b/>
                <w:color w:val="000000"/>
              </w:rPr>
              <w:t>组合期初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3B6466" w14:textId="77777777" w:rsidR="00D62BFF" w:rsidRPr="00161082" w:rsidRDefault="00D62BFF" w:rsidP="007B3F15">
            <w:pPr>
              <w:jc w:val="center"/>
            </w:pPr>
            <w:r>
              <w:rPr>
                <w:rFonts w:ascii="宋体" w:hAnsi="宋体"/>
                <w:b/>
                <w:color w:val="000000"/>
              </w:rPr>
              <w:t>期间变动</w:t>
            </w:r>
          </w:p>
        </w:tc>
      </w:tr>
      <w:tr w:rsidR="00D62BFF" w:rsidRPr="00161082" w14:paraId="7571190D" w14:textId="77777777" w:rsidTr="007B3F15">
        <w:trPr>
          <w:trHeight w:val="282"/>
        </w:trPr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A0CD15" w14:textId="505EA988" w:rsidR="00D62BFF" w:rsidRPr="00161082" w:rsidRDefault="003E29E2" w:rsidP="007B3F15">
            <w:pPr>
              <w:jc w:val="center"/>
            </w:pPr>
            <w:r>
              <w:rPr>
                <w:rFonts w:hint="eastAsia"/>
              </w:rPr>
              <w:t>示例序号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E840F2" w14:textId="48F31ABD" w:rsidR="00D62BFF" w:rsidRPr="00161082" w:rsidRDefault="003E29E2" w:rsidP="007B3F15">
            <w:r>
              <w:rPr>
                <w:rFonts w:hint="eastAsia"/>
              </w:rPr>
              <w:t>示例行业类别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106518" w14:textId="7AB837FF" w:rsidR="00D62BFF" w:rsidRPr="00161082" w:rsidRDefault="000877AA" w:rsidP="007B3F15">
            <w:pPr>
              <w:jc w:val="right"/>
            </w:pPr>
            <w:r>
              <w:rPr>
                <w:rFonts w:hint="eastAsia"/>
              </w:rPr>
              <w:t>00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03459D" w14:textId="7C4EA829" w:rsidR="00D62BFF" w:rsidRPr="00161082" w:rsidRDefault="000877AA" w:rsidP="007B3F15">
            <w:pPr>
              <w:jc w:val="right"/>
            </w:pPr>
            <w:r>
              <w:rPr>
                <w:rFonts w:hint="eastAsia"/>
              </w:rPr>
              <w:t>00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926BE1" w14:textId="4B6F93DD" w:rsidR="00D62BFF" w:rsidRPr="00161082" w:rsidRDefault="000877AA" w:rsidP="007B3F15">
            <w:pPr>
              <w:jc w:val="right"/>
            </w:pPr>
            <w:r>
              <w:rPr>
                <w:rFonts w:hint="eastAsia"/>
              </w:rPr>
              <w:t>00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417A66" w14:textId="128E3921" w:rsidR="00D62BFF" w:rsidRPr="00161082" w:rsidRDefault="000877AA" w:rsidP="007B3F15">
            <w:pPr>
              <w:jc w:val="right"/>
            </w:pPr>
            <w:r>
              <w:rPr>
                <w:rFonts w:hint="eastAsia"/>
              </w:rPr>
              <w:t>00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013E7F" w14:textId="2B4BF04C" w:rsidR="00D62BFF" w:rsidRPr="00161082" w:rsidRDefault="000877AA" w:rsidP="007B3F15">
            <w:pPr>
              <w:jc w:val="right"/>
            </w:pPr>
            <w:r>
              <w:rPr>
                <w:rFonts w:hint="eastAsia"/>
              </w:rPr>
              <w:t>00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C764C1" w14:textId="26855798" w:rsidR="00D62BFF" w:rsidRPr="00161082" w:rsidRDefault="000877AA" w:rsidP="007B3F15">
            <w:pPr>
              <w:jc w:val="right"/>
            </w:pPr>
            <w:r>
              <w:rPr>
                <w:rFonts w:hint="eastAsia"/>
              </w:rPr>
              <w:t>00</w:t>
            </w:r>
            <w:bookmarkStart w:id="0" w:name="_GoBack"/>
            <w:bookmarkEnd w:id="0"/>
          </w:p>
        </w:tc>
      </w:tr>
    </w:tbl>
    <w:p w14:paraId="21F3F4D1" w14:textId="77777777" w:rsidR="00D62BFF" w:rsidRDefault="00D62BFF"/>
    <w:sectPr w:rsidR="00D62BFF" w:rsidSect="00D62BF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C1764" w14:textId="77777777" w:rsidR="005A0460" w:rsidRDefault="005A0460" w:rsidP="00D62BFF">
      <w:r>
        <w:separator/>
      </w:r>
    </w:p>
  </w:endnote>
  <w:endnote w:type="continuationSeparator" w:id="0">
    <w:p w14:paraId="10246648" w14:textId="77777777" w:rsidR="005A0460" w:rsidRDefault="005A0460" w:rsidP="00D6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C8694" w14:textId="77777777" w:rsidR="005A0460" w:rsidRDefault="005A0460" w:rsidP="00D62BFF">
      <w:r>
        <w:separator/>
      </w:r>
    </w:p>
  </w:footnote>
  <w:footnote w:type="continuationSeparator" w:id="0">
    <w:p w14:paraId="02C239AD" w14:textId="77777777" w:rsidR="005A0460" w:rsidRDefault="005A0460" w:rsidP="00D62B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4B"/>
    <w:rsid w:val="000877AA"/>
    <w:rsid w:val="003E29E2"/>
    <w:rsid w:val="004A2F7C"/>
    <w:rsid w:val="005A0460"/>
    <w:rsid w:val="00856BC8"/>
    <w:rsid w:val="0091116E"/>
    <w:rsid w:val="009C7AC8"/>
    <w:rsid w:val="00CB6A4B"/>
    <w:rsid w:val="00CD282F"/>
    <w:rsid w:val="00D6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015A6"/>
  <w15:chartTrackingRefBased/>
  <w15:docId w15:val="{C4E7A588-6CA1-4C20-BA2A-70E1BE24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2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羽沦</dc:creator>
  <cp:keywords/>
  <dc:description/>
  <cp:lastModifiedBy>曹 羽沦</cp:lastModifiedBy>
  <cp:revision>33</cp:revision>
  <dcterms:created xsi:type="dcterms:W3CDTF">2019-07-10T09:07:00Z</dcterms:created>
  <dcterms:modified xsi:type="dcterms:W3CDTF">2019-07-10T09:27:00Z</dcterms:modified>
</cp:coreProperties>
</file>