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ADE8" w14:textId="37B35EB0" w:rsidR="00AE36F5" w:rsidRPr="00AE36F5" w:rsidRDefault="00AE36F5" w:rsidP="00AE36F5">
      <w:pPr>
        <w:rPr>
          <w:b/>
          <w:bCs/>
          <w:sz w:val="40"/>
          <w:szCs w:val="40"/>
        </w:rPr>
      </w:pPr>
      <w:r w:rsidRPr="00AE36F5">
        <w:rPr>
          <w:b/>
          <w:bCs/>
          <w:sz w:val="40"/>
          <w:szCs w:val="40"/>
        </w:rPr>
        <w:t xml:space="preserve">Loan Risk Assessment Dashboard </w:t>
      </w:r>
    </w:p>
    <w:p w14:paraId="253D7FAA" w14:textId="7744634C" w:rsidR="00AE36F5" w:rsidRPr="00AE36F5" w:rsidRDefault="00AE36F5" w:rsidP="00AE36F5"/>
    <w:p w14:paraId="43576331" w14:textId="70E62A3A" w:rsidR="00AE36F5" w:rsidRPr="00AE36F5" w:rsidRDefault="00AE36F5" w:rsidP="00AE36F5">
      <w:pPr>
        <w:rPr>
          <w:b/>
          <w:bCs/>
          <w:sz w:val="32"/>
          <w:szCs w:val="32"/>
        </w:rPr>
      </w:pPr>
      <w:r w:rsidRPr="00AE36F5">
        <w:rPr>
          <w:b/>
          <w:bCs/>
          <w:sz w:val="32"/>
          <w:szCs w:val="32"/>
        </w:rPr>
        <w:t>Summary</w:t>
      </w:r>
    </w:p>
    <w:p w14:paraId="0A851EC1" w14:textId="0CA01C0F" w:rsidR="00AE36F5" w:rsidRPr="00AE36F5" w:rsidRDefault="00AE36F5" w:rsidP="00AE36F5">
      <w:pPr>
        <w:rPr>
          <w:sz w:val="24"/>
          <w:szCs w:val="24"/>
        </w:rPr>
      </w:pPr>
      <w:r w:rsidRPr="00AE36F5">
        <w:rPr>
          <w:sz w:val="24"/>
          <w:szCs w:val="24"/>
        </w:rPr>
        <w:t>This report provides a detailed analysis of the Loan Risk Assessment Dashboard, covering client segmentation, loan distribution, deposit behavio</w:t>
      </w:r>
      <w:r w:rsidRPr="00AE36F5">
        <w:rPr>
          <w:sz w:val="24"/>
          <w:szCs w:val="24"/>
        </w:rPr>
        <w:t>u</w:t>
      </w:r>
      <w:r w:rsidRPr="00AE36F5">
        <w:rPr>
          <w:sz w:val="24"/>
          <w:szCs w:val="24"/>
        </w:rPr>
        <w:t>r, and banking relationships. It highlights key financial indicators and provides insights into trends across client demographics, banking types, and product types.</w:t>
      </w:r>
    </w:p>
    <w:p w14:paraId="2FF97E53" w14:textId="15A240E4" w:rsidR="00AE36F5" w:rsidRPr="00AE36F5" w:rsidRDefault="00AE36F5" w:rsidP="00AE36F5"/>
    <w:p w14:paraId="116FF013" w14:textId="35D70FD0" w:rsidR="00AE36F5" w:rsidRPr="00AE36F5" w:rsidRDefault="00AE36F5" w:rsidP="00AE36F5">
      <w:pPr>
        <w:rPr>
          <w:b/>
          <w:bCs/>
          <w:sz w:val="32"/>
          <w:szCs w:val="32"/>
        </w:rPr>
      </w:pPr>
      <w:r w:rsidRPr="00AE36F5">
        <w:rPr>
          <w:b/>
          <w:bCs/>
          <w:sz w:val="32"/>
          <w:szCs w:val="32"/>
        </w:rPr>
        <w:t xml:space="preserve">Overview </w:t>
      </w:r>
    </w:p>
    <w:p w14:paraId="0E59CC0B" w14:textId="77777777" w:rsidR="00AE36F5" w:rsidRPr="00AE36F5" w:rsidRDefault="00AE36F5" w:rsidP="00AE36F5">
      <w:pPr>
        <w:rPr>
          <w:b/>
          <w:bCs/>
        </w:rPr>
      </w:pPr>
      <w:r w:rsidRPr="00AE36F5">
        <w:rPr>
          <w:b/>
          <w:bCs/>
        </w:rPr>
        <w:t>Client and Financial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612"/>
      </w:tblGrid>
      <w:tr w:rsidR="00AE36F5" w:rsidRPr="00AE36F5" w14:paraId="3A5A2BE0" w14:textId="77777777" w:rsidTr="00AE36F5">
        <w:tc>
          <w:tcPr>
            <w:tcW w:w="0" w:type="auto"/>
            <w:hideMark/>
          </w:tcPr>
          <w:p w14:paraId="25F56BE2" w14:textId="77777777" w:rsidR="00AE36F5" w:rsidRPr="00AE36F5" w:rsidRDefault="00AE36F5" w:rsidP="00AE36F5">
            <w:pPr>
              <w:spacing w:after="160" w:line="259" w:lineRule="auto"/>
              <w:rPr>
                <w:b/>
                <w:bCs/>
              </w:rPr>
            </w:pPr>
            <w:r w:rsidRPr="00AE36F5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5338852F" w14:textId="77777777" w:rsidR="00AE36F5" w:rsidRPr="00AE36F5" w:rsidRDefault="00AE36F5" w:rsidP="00AE36F5">
            <w:pPr>
              <w:spacing w:after="160" w:line="259" w:lineRule="auto"/>
              <w:rPr>
                <w:b/>
                <w:bCs/>
              </w:rPr>
            </w:pPr>
            <w:r w:rsidRPr="00AE36F5">
              <w:rPr>
                <w:b/>
                <w:bCs/>
              </w:rPr>
              <w:t>Value</w:t>
            </w:r>
          </w:p>
        </w:tc>
      </w:tr>
      <w:tr w:rsidR="00AE36F5" w:rsidRPr="00AE36F5" w14:paraId="21FB1E00" w14:textId="77777777" w:rsidTr="00AE36F5">
        <w:tc>
          <w:tcPr>
            <w:tcW w:w="0" w:type="auto"/>
            <w:hideMark/>
          </w:tcPr>
          <w:p w14:paraId="3051F503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Total Clients</w:t>
            </w:r>
          </w:p>
        </w:tc>
        <w:tc>
          <w:tcPr>
            <w:tcW w:w="0" w:type="auto"/>
            <w:hideMark/>
          </w:tcPr>
          <w:p w14:paraId="53313640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3,000</w:t>
            </w:r>
          </w:p>
        </w:tc>
      </w:tr>
      <w:tr w:rsidR="00AE36F5" w:rsidRPr="00AE36F5" w14:paraId="3825D767" w14:textId="77777777" w:rsidTr="00AE36F5">
        <w:tc>
          <w:tcPr>
            <w:tcW w:w="0" w:type="auto"/>
            <w:hideMark/>
          </w:tcPr>
          <w:p w14:paraId="39BABD4B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Total Loan Amount</w:t>
            </w:r>
          </w:p>
        </w:tc>
        <w:tc>
          <w:tcPr>
            <w:tcW w:w="0" w:type="auto"/>
            <w:hideMark/>
          </w:tcPr>
          <w:p w14:paraId="4BFCB12D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₹4.38 Billion</w:t>
            </w:r>
          </w:p>
        </w:tc>
      </w:tr>
      <w:tr w:rsidR="00AE36F5" w:rsidRPr="00AE36F5" w14:paraId="51AE903A" w14:textId="77777777" w:rsidTr="00AE36F5">
        <w:tc>
          <w:tcPr>
            <w:tcW w:w="0" w:type="auto"/>
            <w:hideMark/>
          </w:tcPr>
          <w:p w14:paraId="1EC54BE8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Total Deposit</w:t>
            </w:r>
          </w:p>
        </w:tc>
        <w:tc>
          <w:tcPr>
            <w:tcW w:w="0" w:type="auto"/>
            <w:hideMark/>
          </w:tcPr>
          <w:p w14:paraId="11FDD3AF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₹3.77 Billion</w:t>
            </w:r>
          </w:p>
        </w:tc>
      </w:tr>
      <w:tr w:rsidR="00AE36F5" w:rsidRPr="00AE36F5" w14:paraId="4CC34D83" w14:textId="77777777" w:rsidTr="00AE36F5">
        <w:tc>
          <w:tcPr>
            <w:tcW w:w="0" w:type="auto"/>
            <w:hideMark/>
          </w:tcPr>
          <w:p w14:paraId="30DFEEFE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Business Lending</w:t>
            </w:r>
          </w:p>
        </w:tc>
        <w:tc>
          <w:tcPr>
            <w:tcW w:w="0" w:type="auto"/>
            <w:hideMark/>
          </w:tcPr>
          <w:p w14:paraId="19E04BA9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₹2.60 Billion</w:t>
            </w:r>
          </w:p>
        </w:tc>
      </w:tr>
      <w:tr w:rsidR="00AE36F5" w:rsidRPr="00AE36F5" w14:paraId="3FC8C5B7" w14:textId="77777777" w:rsidTr="00AE36F5">
        <w:tc>
          <w:tcPr>
            <w:tcW w:w="0" w:type="auto"/>
            <w:hideMark/>
          </w:tcPr>
          <w:p w14:paraId="7B81807D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Savings Accounts</w:t>
            </w:r>
          </w:p>
        </w:tc>
        <w:tc>
          <w:tcPr>
            <w:tcW w:w="0" w:type="auto"/>
            <w:hideMark/>
          </w:tcPr>
          <w:p w14:paraId="322B3CD0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₹698.73 Million</w:t>
            </w:r>
          </w:p>
        </w:tc>
      </w:tr>
      <w:tr w:rsidR="00AE36F5" w:rsidRPr="00AE36F5" w14:paraId="6215EAFB" w14:textId="77777777" w:rsidTr="00AE36F5">
        <w:tc>
          <w:tcPr>
            <w:tcW w:w="0" w:type="auto"/>
            <w:hideMark/>
          </w:tcPr>
          <w:p w14:paraId="1455C245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Checking Accounts</w:t>
            </w:r>
          </w:p>
        </w:tc>
        <w:tc>
          <w:tcPr>
            <w:tcW w:w="0" w:type="auto"/>
            <w:hideMark/>
          </w:tcPr>
          <w:p w14:paraId="390A7ACD" w14:textId="77777777" w:rsidR="00AE36F5" w:rsidRPr="00AE36F5" w:rsidRDefault="00AE36F5" w:rsidP="00AE36F5">
            <w:pPr>
              <w:spacing w:after="160" w:line="259" w:lineRule="auto"/>
            </w:pPr>
            <w:r w:rsidRPr="00AE36F5">
              <w:t>₹963.28 Million</w:t>
            </w:r>
          </w:p>
        </w:tc>
      </w:tr>
    </w:tbl>
    <w:p w14:paraId="66393DC3" w14:textId="77777777" w:rsidR="00AE36F5" w:rsidRDefault="00AE36F5" w:rsidP="00AE36F5">
      <w:pPr>
        <w:rPr>
          <w:b/>
          <w:bCs/>
          <w:sz w:val="32"/>
          <w:szCs w:val="32"/>
        </w:rPr>
      </w:pPr>
    </w:p>
    <w:p w14:paraId="7DE47739" w14:textId="31F02E9E" w:rsidR="00AE36F5" w:rsidRPr="00AE36F5" w:rsidRDefault="00AE36F5" w:rsidP="00AE36F5">
      <w:r w:rsidRPr="00AE36F5">
        <w:rPr>
          <w:b/>
          <w:bCs/>
          <w:sz w:val="32"/>
          <w:szCs w:val="32"/>
        </w:rPr>
        <w:t>Observation</w:t>
      </w:r>
      <w:r w:rsidRPr="00AE36F5">
        <w:rPr>
          <w:sz w:val="32"/>
          <w:szCs w:val="32"/>
        </w:rPr>
        <w:t>:</w:t>
      </w:r>
      <w:r w:rsidRPr="00AE36F5">
        <w:br/>
      </w:r>
      <w:r w:rsidRPr="00AE36F5">
        <w:rPr>
          <w:sz w:val="24"/>
          <w:szCs w:val="24"/>
        </w:rPr>
        <w:t>The loan book is slightly higher than total deposits, indicating a higher credit-to-deposit ratio. Business lending represents a large share of the total loan portfolio.</w:t>
      </w:r>
    </w:p>
    <w:p w14:paraId="40BEAFF5" w14:textId="75612BE2" w:rsidR="00AE36F5" w:rsidRPr="00AE36F5" w:rsidRDefault="00AE36F5" w:rsidP="00AE36F5"/>
    <w:p w14:paraId="6E71135B" w14:textId="347A7BA8" w:rsidR="00AE36F5" w:rsidRPr="00AE36F5" w:rsidRDefault="00AE36F5" w:rsidP="00AE36F5">
      <w:pPr>
        <w:rPr>
          <w:b/>
          <w:bCs/>
          <w:sz w:val="32"/>
          <w:szCs w:val="32"/>
        </w:rPr>
      </w:pPr>
      <w:r w:rsidRPr="00AE36F5">
        <w:rPr>
          <w:b/>
          <w:bCs/>
          <w:sz w:val="32"/>
          <w:szCs w:val="32"/>
        </w:rPr>
        <w:t>Loan Analysis</w:t>
      </w:r>
    </w:p>
    <w:p w14:paraId="03008399" w14:textId="24F9A2DC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Bank Loan by Banking Relationship (BR)</w:t>
      </w:r>
    </w:p>
    <w:p w14:paraId="45C529AC" w14:textId="77777777" w:rsidR="00AE36F5" w:rsidRPr="00AE36F5" w:rsidRDefault="00AE36F5" w:rsidP="00AE36F5">
      <w:pPr>
        <w:numPr>
          <w:ilvl w:val="0"/>
          <w:numId w:val="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Private Bank</w:t>
      </w:r>
      <w:r w:rsidRPr="00AE36F5">
        <w:rPr>
          <w:sz w:val="24"/>
          <w:szCs w:val="24"/>
        </w:rPr>
        <w:t xml:space="preserve"> clients have the highest loan exposure (~₹2 </w:t>
      </w:r>
      <w:proofErr w:type="gramStart"/>
      <w:r w:rsidRPr="00AE36F5">
        <w:rPr>
          <w:sz w:val="24"/>
          <w:szCs w:val="24"/>
        </w:rPr>
        <w:t>Billion</w:t>
      </w:r>
      <w:proofErr w:type="gramEnd"/>
      <w:r w:rsidRPr="00AE36F5">
        <w:rPr>
          <w:sz w:val="24"/>
          <w:szCs w:val="24"/>
        </w:rPr>
        <w:t>).</w:t>
      </w:r>
    </w:p>
    <w:p w14:paraId="37DC81F4" w14:textId="77777777" w:rsidR="00AE36F5" w:rsidRPr="00AE36F5" w:rsidRDefault="00AE36F5" w:rsidP="00AE36F5">
      <w:pPr>
        <w:numPr>
          <w:ilvl w:val="0"/>
          <w:numId w:val="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Retail</w:t>
      </w:r>
      <w:r w:rsidRPr="00AE36F5">
        <w:rPr>
          <w:sz w:val="24"/>
          <w:szCs w:val="24"/>
        </w:rPr>
        <w:t xml:space="preserve">, </w:t>
      </w:r>
      <w:r w:rsidRPr="00AE36F5">
        <w:rPr>
          <w:b/>
          <w:bCs/>
          <w:sz w:val="24"/>
          <w:szCs w:val="24"/>
        </w:rPr>
        <w:t>Commercial</w:t>
      </w:r>
      <w:r w:rsidRPr="00AE36F5">
        <w:rPr>
          <w:sz w:val="24"/>
          <w:szCs w:val="24"/>
        </w:rPr>
        <w:t xml:space="preserve">, and </w:t>
      </w:r>
      <w:r w:rsidRPr="00AE36F5">
        <w:rPr>
          <w:b/>
          <w:bCs/>
          <w:sz w:val="24"/>
          <w:szCs w:val="24"/>
        </w:rPr>
        <w:t>Institutional</w:t>
      </w:r>
      <w:r w:rsidRPr="00AE36F5">
        <w:rPr>
          <w:sz w:val="24"/>
          <w:szCs w:val="24"/>
        </w:rPr>
        <w:t xml:space="preserve"> segments contribute to smaller loan shares.</w:t>
      </w:r>
    </w:p>
    <w:p w14:paraId="21724FA6" w14:textId="77777777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Private banks are the dominant lending channel, indicating possible concentration risk in that segment.</w:t>
      </w:r>
    </w:p>
    <w:p w14:paraId="6C817ED1" w14:textId="77777777" w:rsidR="00AE36F5" w:rsidRPr="00AE36F5" w:rsidRDefault="00AE36F5" w:rsidP="00AE36F5">
      <w:pPr>
        <w:rPr>
          <w:b/>
          <w:bCs/>
          <w:sz w:val="24"/>
          <w:szCs w:val="24"/>
        </w:rPr>
      </w:pPr>
    </w:p>
    <w:p w14:paraId="5C263A71" w14:textId="77777777" w:rsidR="00AE36F5" w:rsidRPr="00AE36F5" w:rsidRDefault="00AE36F5" w:rsidP="00AE36F5">
      <w:pPr>
        <w:rPr>
          <w:b/>
          <w:bCs/>
          <w:sz w:val="24"/>
          <w:szCs w:val="24"/>
        </w:rPr>
      </w:pPr>
    </w:p>
    <w:p w14:paraId="39665D42" w14:textId="3EEB18E1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Loan by Nationality</w:t>
      </w:r>
    </w:p>
    <w:p w14:paraId="27149188" w14:textId="77777777" w:rsidR="00AE36F5" w:rsidRPr="00AE36F5" w:rsidRDefault="00AE36F5" w:rsidP="00AE36F5">
      <w:pPr>
        <w:numPr>
          <w:ilvl w:val="0"/>
          <w:numId w:val="2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European</w:t>
      </w:r>
      <w:r w:rsidRPr="00AE36F5">
        <w:rPr>
          <w:sz w:val="24"/>
          <w:szCs w:val="24"/>
        </w:rPr>
        <w:t xml:space="preserve"> and </w:t>
      </w:r>
      <w:r w:rsidRPr="00AE36F5">
        <w:rPr>
          <w:b/>
          <w:bCs/>
          <w:sz w:val="24"/>
          <w:szCs w:val="24"/>
        </w:rPr>
        <w:t>Asian</w:t>
      </w:r>
      <w:r w:rsidRPr="00AE36F5">
        <w:rPr>
          <w:sz w:val="24"/>
          <w:szCs w:val="24"/>
        </w:rPr>
        <w:t xml:space="preserve"> nationalities contribute most to the bank loan portfolio.</w:t>
      </w:r>
    </w:p>
    <w:p w14:paraId="5B1FDF1A" w14:textId="77777777" w:rsidR="00AE36F5" w:rsidRPr="00AE36F5" w:rsidRDefault="00AE36F5" w:rsidP="00AE36F5">
      <w:pPr>
        <w:numPr>
          <w:ilvl w:val="0"/>
          <w:numId w:val="2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American</w:t>
      </w:r>
      <w:r w:rsidRPr="00AE36F5">
        <w:rPr>
          <w:sz w:val="24"/>
          <w:szCs w:val="24"/>
        </w:rPr>
        <w:t xml:space="preserve">, </w:t>
      </w:r>
      <w:r w:rsidRPr="00AE36F5">
        <w:rPr>
          <w:b/>
          <w:bCs/>
          <w:sz w:val="24"/>
          <w:szCs w:val="24"/>
        </w:rPr>
        <w:t>Australian</w:t>
      </w:r>
      <w:r w:rsidRPr="00AE36F5">
        <w:rPr>
          <w:sz w:val="24"/>
          <w:szCs w:val="24"/>
        </w:rPr>
        <w:t xml:space="preserve">, and </w:t>
      </w:r>
      <w:r w:rsidRPr="00AE36F5">
        <w:rPr>
          <w:b/>
          <w:bCs/>
          <w:sz w:val="24"/>
          <w:szCs w:val="24"/>
        </w:rPr>
        <w:t>African</w:t>
      </w:r>
      <w:r w:rsidRPr="00AE36F5">
        <w:rPr>
          <w:sz w:val="24"/>
          <w:szCs w:val="24"/>
        </w:rPr>
        <w:t xml:space="preserve"> clients have significantly smaller loan shares.</w:t>
      </w:r>
    </w:p>
    <w:p w14:paraId="70BEDA55" w14:textId="77777777" w:rsidR="00AE36F5" w:rsidRPr="00AE36F5" w:rsidRDefault="00AE36F5" w:rsidP="00AE36F5"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Loan portfolio is concentrated in European and Asian clients, which may suggest geographic or demographic risk concentration</w:t>
      </w:r>
      <w:r w:rsidRPr="00AE36F5">
        <w:t>.</w:t>
      </w:r>
    </w:p>
    <w:p w14:paraId="64CAF2AD" w14:textId="64D389A1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Bank Loan by Occupation</w:t>
      </w:r>
    </w:p>
    <w:p w14:paraId="58CCC42B" w14:textId="77777777" w:rsidR="00AE36F5" w:rsidRPr="00AE36F5" w:rsidRDefault="00AE36F5" w:rsidP="00AE36F5">
      <w:pPr>
        <w:numPr>
          <w:ilvl w:val="0"/>
          <w:numId w:val="3"/>
        </w:numPr>
        <w:rPr>
          <w:sz w:val="24"/>
          <w:szCs w:val="24"/>
        </w:rPr>
      </w:pPr>
      <w:r w:rsidRPr="00AE36F5">
        <w:rPr>
          <w:sz w:val="24"/>
          <w:szCs w:val="24"/>
        </w:rPr>
        <w:t xml:space="preserve">Highest loan counts are associated with clients in the </w:t>
      </w:r>
      <w:r w:rsidRPr="00AE36F5">
        <w:rPr>
          <w:b/>
          <w:bCs/>
          <w:sz w:val="24"/>
          <w:szCs w:val="24"/>
        </w:rPr>
        <w:t>Private Bank</w:t>
      </w:r>
      <w:r w:rsidRPr="00AE36F5">
        <w:rPr>
          <w:sz w:val="24"/>
          <w:szCs w:val="24"/>
        </w:rPr>
        <w:t xml:space="preserve"> category.</w:t>
      </w:r>
    </w:p>
    <w:p w14:paraId="428E7FFC" w14:textId="77777777" w:rsidR="00AE36F5" w:rsidRPr="00AE36F5" w:rsidRDefault="00AE36F5" w:rsidP="00AE36F5">
      <w:pPr>
        <w:numPr>
          <w:ilvl w:val="0"/>
          <w:numId w:val="3"/>
        </w:numPr>
        <w:rPr>
          <w:sz w:val="24"/>
          <w:szCs w:val="24"/>
        </w:rPr>
      </w:pPr>
      <w:r w:rsidRPr="00AE36F5">
        <w:rPr>
          <w:sz w:val="24"/>
          <w:szCs w:val="24"/>
        </w:rPr>
        <w:t xml:space="preserve">Fewer loans are distributed across </w:t>
      </w:r>
      <w:r w:rsidRPr="00AE36F5">
        <w:rPr>
          <w:b/>
          <w:bCs/>
          <w:sz w:val="24"/>
          <w:szCs w:val="24"/>
        </w:rPr>
        <w:t>Retail</w:t>
      </w:r>
      <w:r w:rsidRPr="00AE36F5">
        <w:rPr>
          <w:sz w:val="24"/>
          <w:szCs w:val="24"/>
        </w:rPr>
        <w:t xml:space="preserve">, </w:t>
      </w:r>
      <w:r w:rsidRPr="00AE36F5">
        <w:rPr>
          <w:b/>
          <w:bCs/>
          <w:sz w:val="24"/>
          <w:szCs w:val="24"/>
        </w:rPr>
        <w:t>Institutional</w:t>
      </w:r>
      <w:r w:rsidRPr="00AE36F5">
        <w:rPr>
          <w:sz w:val="24"/>
          <w:szCs w:val="24"/>
        </w:rPr>
        <w:t xml:space="preserve">, and </w:t>
      </w:r>
      <w:r w:rsidRPr="00AE36F5">
        <w:rPr>
          <w:b/>
          <w:bCs/>
          <w:sz w:val="24"/>
          <w:szCs w:val="24"/>
        </w:rPr>
        <w:t>Commercial</w:t>
      </w:r>
      <w:r w:rsidRPr="00AE36F5">
        <w:rPr>
          <w:sz w:val="24"/>
          <w:szCs w:val="24"/>
        </w:rPr>
        <w:t xml:space="preserve"> categories.</w:t>
      </w:r>
    </w:p>
    <w:p w14:paraId="6FD0C2A2" w14:textId="77777777" w:rsidR="00AE36F5" w:rsidRPr="00AE36F5" w:rsidRDefault="00AE36F5" w:rsidP="00AE36F5"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Loan products are more commonly used by clients with private banking relationships, possibly indicating higher creditworthiness or better access</w:t>
      </w:r>
      <w:r w:rsidRPr="00AE36F5">
        <w:t>.</w:t>
      </w:r>
    </w:p>
    <w:p w14:paraId="36C7A3C2" w14:textId="61CA31D4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Credit Card Balance</w:t>
      </w:r>
    </w:p>
    <w:p w14:paraId="23E21A54" w14:textId="77777777" w:rsidR="00AE36F5" w:rsidRPr="00AE36F5" w:rsidRDefault="00AE36F5" w:rsidP="00AE36F5">
      <w:pPr>
        <w:numPr>
          <w:ilvl w:val="0"/>
          <w:numId w:val="4"/>
        </w:numPr>
        <w:rPr>
          <w:sz w:val="24"/>
          <w:szCs w:val="24"/>
        </w:rPr>
      </w:pPr>
      <w:r w:rsidRPr="00AE36F5">
        <w:rPr>
          <w:sz w:val="24"/>
          <w:szCs w:val="24"/>
        </w:rPr>
        <w:t>The total balance stands at ₹9.53 Million.</w:t>
      </w:r>
    </w:p>
    <w:p w14:paraId="3418BB9E" w14:textId="77777777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Unsecured lending via credit cards is relatively low but should still be monitored for delinquencies.</w:t>
      </w:r>
    </w:p>
    <w:p w14:paraId="33E27198" w14:textId="2BDD8566" w:rsidR="00AE36F5" w:rsidRPr="00AE36F5" w:rsidRDefault="00AE36F5" w:rsidP="00AE36F5"/>
    <w:p w14:paraId="112C9BDA" w14:textId="3D830FC4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Deposit Analysis</w:t>
      </w:r>
    </w:p>
    <w:p w14:paraId="7763C68B" w14:textId="5FD75787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Total Deposit Breakdown</w:t>
      </w:r>
    </w:p>
    <w:p w14:paraId="49C4C638" w14:textId="77777777" w:rsidR="00AE36F5" w:rsidRPr="00AE36F5" w:rsidRDefault="00AE36F5" w:rsidP="00AE36F5">
      <w:pPr>
        <w:numPr>
          <w:ilvl w:val="0"/>
          <w:numId w:val="5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Bank Deposits</w:t>
      </w:r>
      <w:r w:rsidRPr="00AE36F5">
        <w:rPr>
          <w:sz w:val="24"/>
          <w:szCs w:val="24"/>
        </w:rPr>
        <w:t>: ₹2.01 Billion</w:t>
      </w:r>
    </w:p>
    <w:p w14:paraId="1CF538C6" w14:textId="77777777" w:rsidR="00AE36F5" w:rsidRPr="00AE36F5" w:rsidRDefault="00AE36F5" w:rsidP="00AE36F5">
      <w:pPr>
        <w:numPr>
          <w:ilvl w:val="0"/>
          <w:numId w:val="5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Savings Account Amount</w:t>
      </w:r>
      <w:r w:rsidRPr="00AE36F5">
        <w:rPr>
          <w:sz w:val="24"/>
          <w:szCs w:val="24"/>
        </w:rPr>
        <w:t>: ₹698.73 Million</w:t>
      </w:r>
    </w:p>
    <w:p w14:paraId="068FC306" w14:textId="77777777" w:rsidR="00AE36F5" w:rsidRPr="00AE36F5" w:rsidRDefault="00AE36F5" w:rsidP="00AE36F5">
      <w:pPr>
        <w:numPr>
          <w:ilvl w:val="0"/>
          <w:numId w:val="5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Checking Account Amount</w:t>
      </w:r>
      <w:r w:rsidRPr="00AE36F5">
        <w:rPr>
          <w:sz w:val="24"/>
          <w:szCs w:val="24"/>
        </w:rPr>
        <w:t>: ₹963.28 Million</w:t>
      </w:r>
    </w:p>
    <w:p w14:paraId="6E7AF205" w14:textId="77777777" w:rsid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The deposit base is diversified across account types, with bank deposits forming the largest component.</w:t>
      </w:r>
    </w:p>
    <w:p w14:paraId="092BE5AC" w14:textId="77777777" w:rsidR="00AE36F5" w:rsidRDefault="00AE36F5" w:rsidP="00AE36F5">
      <w:pPr>
        <w:rPr>
          <w:sz w:val="24"/>
          <w:szCs w:val="24"/>
        </w:rPr>
      </w:pPr>
    </w:p>
    <w:p w14:paraId="25DFE313" w14:textId="77777777" w:rsidR="00AE36F5" w:rsidRDefault="00AE36F5" w:rsidP="00AE36F5">
      <w:pPr>
        <w:rPr>
          <w:sz w:val="24"/>
          <w:szCs w:val="24"/>
        </w:rPr>
      </w:pPr>
    </w:p>
    <w:p w14:paraId="2528580C" w14:textId="77777777" w:rsidR="00AE36F5" w:rsidRDefault="00AE36F5" w:rsidP="00AE36F5">
      <w:pPr>
        <w:rPr>
          <w:sz w:val="24"/>
          <w:szCs w:val="24"/>
        </w:rPr>
      </w:pPr>
    </w:p>
    <w:p w14:paraId="36D5BD0D" w14:textId="77777777" w:rsidR="00AE36F5" w:rsidRDefault="00AE36F5" w:rsidP="00AE36F5">
      <w:pPr>
        <w:rPr>
          <w:sz w:val="24"/>
          <w:szCs w:val="24"/>
        </w:rPr>
      </w:pPr>
    </w:p>
    <w:p w14:paraId="7AF79717" w14:textId="77777777" w:rsidR="00AE36F5" w:rsidRDefault="00AE36F5" w:rsidP="00AE36F5">
      <w:pPr>
        <w:rPr>
          <w:sz w:val="24"/>
          <w:szCs w:val="24"/>
        </w:rPr>
      </w:pPr>
    </w:p>
    <w:p w14:paraId="3A4D7295" w14:textId="40C259B0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lastRenderedPageBreak/>
        <w:t>Bank Deposit by Banking Relationship</w:t>
      </w:r>
    </w:p>
    <w:p w14:paraId="4831A00F" w14:textId="77777777" w:rsidR="00AE36F5" w:rsidRPr="00AE36F5" w:rsidRDefault="00AE36F5" w:rsidP="00AE36F5">
      <w:pPr>
        <w:numPr>
          <w:ilvl w:val="0"/>
          <w:numId w:val="6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Private Bank</w:t>
      </w:r>
      <w:r w:rsidRPr="00AE36F5">
        <w:rPr>
          <w:sz w:val="24"/>
          <w:szCs w:val="24"/>
        </w:rPr>
        <w:t xml:space="preserve"> clients contribute the highest share (~₹1 </w:t>
      </w:r>
      <w:proofErr w:type="gramStart"/>
      <w:r w:rsidRPr="00AE36F5">
        <w:rPr>
          <w:sz w:val="24"/>
          <w:szCs w:val="24"/>
        </w:rPr>
        <w:t>Billion</w:t>
      </w:r>
      <w:proofErr w:type="gramEnd"/>
      <w:r w:rsidRPr="00AE36F5">
        <w:rPr>
          <w:sz w:val="24"/>
          <w:szCs w:val="24"/>
        </w:rPr>
        <w:t>).</w:t>
      </w:r>
    </w:p>
    <w:p w14:paraId="32D648CD" w14:textId="77777777" w:rsidR="00AE36F5" w:rsidRPr="00AE36F5" w:rsidRDefault="00AE36F5" w:rsidP="00AE36F5">
      <w:pPr>
        <w:numPr>
          <w:ilvl w:val="0"/>
          <w:numId w:val="6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Retail</w:t>
      </w:r>
      <w:r w:rsidRPr="00AE36F5">
        <w:rPr>
          <w:sz w:val="24"/>
          <w:szCs w:val="24"/>
        </w:rPr>
        <w:t xml:space="preserve">, </w:t>
      </w:r>
      <w:r w:rsidRPr="00AE36F5">
        <w:rPr>
          <w:b/>
          <w:bCs/>
          <w:sz w:val="24"/>
          <w:szCs w:val="24"/>
        </w:rPr>
        <w:t>Commercial</w:t>
      </w:r>
      <w:r w:rsidRPr="00AE36F5">
        <w:rPr>
          <w:sz w:val="24"/>
          <w:szCs w:val="24"/>
        </w:rPr>
        <w:t xml:space="preserve">, and </w:t>
      </w:r>
      <w:r w:rsidRPr="00AE36F5">
        <w:rPr>
          <w:b/>
          <w:bCs/>
          <w:sz w:val="24"/>
          <w:szCs w:val="24"/>
        </w:rPr>
        <w:t>Institutional</w:t>
      </w:r>
      <w:r w:rsidRPr="00AE36F5">
        <w:rPr>
          <w:sz w:val="24"/>
          <w:szCs w:val="24"/>
        </w:rPr>
        <w:t xml:space="preserve"> segments follow with smaller contributions.</w:t>
      </w:r>
    </w:p>
    <w:p w14:paraId="61B3A2C8" w14:textId="77777777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Deposit concentration is aligned with the loan distribution, indicating consistent engagement from private banking clients.</w:t>
      </w:r>
    </w:p>
    <w:p w14:paraId="4378C958" w14:textId="34D3720D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Deposit by Nationality</w:t>
      </w:r>
    </w:p>
    <w:p w14:paraId="0BD10406" w14:textId="77777777" w:rsidR="00AE36F5" w:rsidRPr="00AE36F5" w:rsidRDefault="00AE36F5" w:rsidP="00AE36F5">
      <w:pPr>
        <w:numPr>
          <w:ilvl w:val="0"/>
          <w:numId w:val="7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European</w:t>
      </w:r>
      <w:r w:rsidRPr="00AE36F5">
        <w:rPr>
          <w:sz w:val="24"/>
          <w:szCs w:val="24"/>
        </w:rPr>
        <w:t xml:space="preserve"> nationals lead in deposit contribution, followed by </w:t>
      </w:r>
      <w:r w:rsidRPr="00AE36F5">
        <w:rPr>
          <w:b/>
          <w:bCs/>
          <w:sz w:val="24"/>
          <w:szCs w:val="24"/>
        </w:rPr>
        <w:t>Asian</w:t>
      </w:r>
      <w:r w:rsidRPr="00AE36F5">
        <w:rPr>
          <w:sz w:val="24"/>
          <w:szCs w:val="24"/>
        </w:rPr>
        <w:t xml:space="preserve"> nationals.</w:t>
      </w:r>
    </w:p>
    <w:p w14:paraId="6C93FF7E" w14:textId="77777777" w:rsidR="00AE36F5" w:rsidRPr="00AE36F5" w:rsidRDefault="00AE36F5" w:rsidP="00AE36F5">
      <w:pPr>
        <w:numPr>
          <w:ilvl w:val="0"/>
          <w:numId w:val="7"/>
        </w:numPr>
        <w:rPr>
          <w:sz w:val="24"/>
          <w:szCs w:val="24"/>
        </w:rPr>
      </w:pPr>
      <w:r w:rsidRPr="00AE36F5">
        <w:rPr>
          <w:sz w:val="24"/>
          <w:szCs w:val="24"/>
        </w:rPr>
        <w:t>Other nationalities have relatively lower deposit engagement.</w:t>
      </w:r>
    </w:p>
    <w:p w14:paraId="391143F6" w14:textId="77777777" w:rsid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Customer acquisition and deposit inflows are higher among European and Asian demographics.</w:t>
      </w:r>
    </w:p>
    <w:p w14:paraId="72842084" w14:textId="4E41456D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Bank Deposit by Occupation</w:t>
      </w:r>
    </w:p>
    <w:p w14:paraId="51E0696E" w14:textId="77777777" w:rsidR="00AE36F5" w:rsidRPr="00AE36F5" w:rsidRDefault="00AE36F5" w:rsidP="00AE36F5">
      <w:pPr>
        <w:numPr>
          <w:ilvl w:val="0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Deposits are spread across diverse occupations such as:</w:t>
      </w:r>
    </w:p>
    <w:p w14:paraId="29397602" w14:textId="77777777" w:rsidR="00AE36F5" w:rsidRPr="00AE36F5" w:rsidRDefault="00AE36F5" w:rsidP="00AE36F5">
      <w:pPr>
        <w:numPr>
          <w:ilvl w:val="1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Structural Engineers</w:t>
      </w:r>
    </w:p>
    <w:p w14:paraId="1C70E46D" w14:textId="77777777" w:rsidR="00AE36F5" w:rsidRPr="00AE36F5" w:rsidRDefault="00AE36F5" w:rsidP="00AE36F5">
      <w:pPr>
        <w:numPr>
          <w:ilvl w:val="1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Software Engineers</w:t>
      </w:r>
    </w:p>
    <w:p w14:paraId="31F7D7D4" w14:textId="77777777" w:rsidR="00AE36F5" w:rsidRPr="00AE36F5" w:rsidRDefault="00AE36F5" w:rsidP="00AE36F5">
      <w:pPr>
        <w:numPr>
          <w:ilvl w:val="1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Accountants</w:t>
      </w:r>
    </w:p>
    <w:p w14:paraId="0C1FBCA1" w14:textId="77777777" w:rsidR="00AE36F5" w:rsidRPr="00AE36F5" w:rsidRDefault="00AE36F5" w:rsidP="00AE36F5">
      <w:pPr>
        <w:numPr>
          <w:ilvl w:val="1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Recruiters</w:t>
      </w:r>
    </w:p>
    <w:p w14:paraId="38943372" w14:textId="77777777" w:rsidR="00AE36F5" w:rsidRPr="00AE36F5" w:rsidRDefault="00AE36F5" w:rsidP="00AE36F5">
      <w:pPr>
        <w:numPr>
          <w:ilvl w:val="1"/>
          <w:numId w:val="8"/>
        </w:numPr>
        <w:rPr>
          <w:sz w:val="24"/>
          <w:szCs w:val="24"/>
        </w:rPr>
      </w:pPr>
      <w:r w:rsidRPr="00AE36F5">
        <w:rPr>
          <w:sz w:val="24"/>
          <w:szCs w:val="24"/>
        </w:rPr>
        <w:t>Database Administrators</w:t>
      </w:r>
    </w:p>
    <w:p w14:paraId="288676C8" w14:textId="77777777" w:rsidR="00AE36F5" w:rsidRPr="00AE36F5" w:rsidRDefault="00AE36F5" w:rsidP="00AE36F5"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There is a well-distributed deposit base across professional categories, reducing occupational risk exposure</w:t>
      </w:r>
      <w:r w:rsidRPr="00AE36F5">
        <w:t>.</w:t>
      </w:r>
    </w:p>
    <w:p w14:paraId="49878C61" w14:textId="6C535D1D" w:rsidR="00AE36F5" w:rsidRPr="00AE36F5" w:rsidRDefault="00AE36F5" w:rsidP="00AE36F5">
      <w:pPr>
        <w:rPr>
          <w:sz w:val="24"/>
          <w:szCs w:val="24"/>
        </w:rPr>
      </w:pPr>
    </w:p>
    <w:p w14:paraId="70214824" w14:textId="43AD27F2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Filters and Segmentation Options</w:t>
      </w:r>
    </w:p>
    <w:p w14:paraId="47D9844A" w14:textId="77777777" w:rsidR="00AE36F5" w:rsidRPr="00AE36F5" w:rsidRDefault="00AE36F5" w:rsidP="00AE36F5">
      <w:pPr>
        <w:rPr>
          <w:sz w:val="24"/>
          <w:szCs w:val="24"/>
        </w:rPr>
      </w:pPr>
      <w:r w:rsidRPr="00AE36F5">
        <w:rPr>
          <w:sz w:val="24"/>
          <w:szCs w:val="24"/>
        </w:rPr>
        <w:t>The dashboard allows filtering based on:</w:t>
      </w:r>
    </w:p>
    <w:p w14:paraId="7EB4E46B" w14:textId="77777777" w:rsidR="00AE36F5" w:rsidRPr="00AE36F5" w:rsidRDefault="00AE36F5" w:rsidP="00AE36F5">
      <w:pPr>
        <w:numPr>
          <w:ilvl w:val="0"/>
          <w:numId w:val="9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Joining Year</w:t>
      </w:r>
      <w:r w:rsidRPr="00AE36F5">
        <w:rPr>
          <w:sz w:val="24"/>
          <w:szCs w:val="24"/>
        </w:rPr>
        <w:t>: 1995, 1996, 1999</w:t>
      </w:r>
    </w:p>
    <w:p w14:paraId="7CABDF65" w14:textId="77777777" w:rsidR="00AE36F5" w:rsidRPr="00AE36F5" w:rsidRDefault="00AE36F5" w:rsidP="00AE36F5">
      <w:pPr>
        <w:numPr>
          <w:ilvl w:val="0"/>
          <w:numId w:val="9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Gender</w:t>
      </w:r>
      <w:r w:rsidRPr="00AE36F5">
        <w:rPr>
          <w:sz w:val="24"/>
          <w:szCs w:val="24"/>
        </w:rPr>
        <w:t>: Female, Male</w:t>
      </w:r>
    </w:p>
    <w:p w14:paraId="68A60FB6" w14:textId="77777777" w:rsidR="00AE36F5" w:rsidRPr="00AE36F5" w:rsidRDefault="00AE36F5" w:rsidP="00AE36F5">
      <w:pPr>
        <w:numPr>
          <w:ilvl w:val="0"/>
          <w:numId w:val="9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Banking Relationship</w:t>
      </w:r>
      <w:r w:rsidRPr="00AE36F5">
        <w:rPr>
          <w:sz w:val="24"/>
          <w:szCs w:val="24"/>
        </w:rPr>
        <w:t>: Commercial, Institutional, Private Bank</w:t>
      </w:r>
    </w:p>
    <w:p w14:paraId="45B5BA38" w14:textId="77777777" w:rsidR="00AE36F5" w:rsidRPr="00AE36F5" w:rsidRDefault="00AE36F5" w:rsidP="00AE36F5">
      <w:pPr>
        <w:numPr>
          <w:ilvl w:val="0"/>
          <w:numId w:val="9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Institution Advisors</w:t>
      </w:r>
      <w:r w:rsidRPr="00AE36F5">
        <w:rPr>
          <w:sz w:val="24"/>
          <w:szCs w:val="24"/>
        </w:rPr>
        <w:t>: Advisor 1, 2, 3</w:t>
      </w:r>
    </w:p>
    <w:p w14:paraId="67B5CEE8" w14:textId="77777777" w:rsidR="00AE36F5" w:rsidRPr="00AE36F5" w:rsidRDefault="00AE36F5" w:rsidP="00AE36F5">
      <w:p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Insight</w:t>
      </w:r>
      <w:r w:rsidRPr="00AE36F5">
        <w:rPr>
          <w:sz w:val="24"/>
          <w:szCs w:val="24"/>
        </w:rPr>
        <w:t>:</w:t>
      </w:r>
      <w:r w:rsidRPr="00AE36F5">
        <w:rPr>
          <w:sz w:val="24"/>
          <w:szCs w:val="24"/>
        </w:rPr>
        <w:br/>
        <w:t>These filters support segmented analysis for performance evaluation across time, gender, advisor effectiveness, and client relationships.</w:t>
      </w:r>
    </w:p>
    <w:p w14:paraId="44CF8EF2" w14:textId="5528112D" w:rsidR="00AE36F5" w:rsidRPr="00AE36F5" w:rsidRDefault="00AE36F5" w:rsidP="00AE36F5"/>
    <w:p w14:paraId="69ABACA2" w14:textId="4D7EA5F9" w:rsidR="00AE36F5" w:rsidRPr="00AE36F5" w:rsidRDefault="00AE36F5" w:rsidP="00AE36F5">
      <w:pPr>
        <w:rPr>
          <w:b/>
          <w:bCs/>
          <w:sz w:val="24"/>
          <w:szCs w:val="24"/>
        </w:rPr>
      </w:pPr>
      <w:r w:rsidRPr="00AE36F5">
        <w:rPr>
          <w:b/>
          <w:bCs/>
          <w:sz w:val="24"/>
          <w:szCs w:val="24"/>
        </w:rPr>
        <w:t>Key Insights and Strategic Observations</w:t>
      </w:r>
    </w:p>
    <w:p w14:paraId="7A0AB111" w14:textId="77777777" w:rsidR="00AE36F5" w:rsidRPr="00AE36F5" w:rsidRDefault="00AE36F5" w:rsidP="00AE36F5">
      <w:pPr>
        <w:numPr>
          <w:ilvl w:val="0"/>
          <w:numId w:val="10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Loan-Deposit Imbalance</w:t>
      </w:r>
      <w:r w:rsidRPr="00AE36F5">
        <w:rPr>
          <w:sz w:val="24"/>
          <w:szCs w:val="24"/>
        </w:rPr>
        <w:t>: The total loan amount (₹4.38B) exceeds deposits (₹3.77B), which may raise liquidity or funding concerns.</w:t>
      </w:r>
    </w:p>
    <w:p w14:paraId="0737E0CD" w14:textId="77777777" w:rsidR="00AE36F5" w:rsidRPr="00AE36F5" w:rsidRDefault="00AE36F5" w:rsidP="00AE36F5">
      <w:pPr>
        <w:numPr>
          <w:ilvl w:val="0"/>
          <w:numId w:val="10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Customer Concentration Risk</w:t>
      </w:r>
      <w:r w:rsidRPr="00AE36F5">
        <w:rPr>
          <w:sz w:val="24"/>
          <w:szCs w:val="24"/>
        </w:rPr>
        <w:t>: Heavy reliance on private bank clients and European/Asian nationalities indicates a need for diversification.</w:t>
      </w:r>
    </w:p>
    <w:p w14:paraId="05B7C343" w14:textId="77777777" w:rsidR="00AE36F5" w:rsidRPr="00AE36F5" w:rsidRDefault="00AE36F5" w:rsidP="00AE36F5">
      <w:pPr>
        <w:numPr>
          <w:ilvl w:val="0"/>
          <w:numId w:val="10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Business Lending Focus</w:t>
      </w:r>
      <w:r w:rsidRPr="00AE36F5">
        <w:rPr>
          <w:sz w:val="24"/>
          <w:szCs w:val="24"/>
        </w:rPr>
        <w:t>: ₹2.60B in business lending suggests strong commercial focus but also adds economic sensitivity.</w:t>
      </w:r>
    </w:p>
    <w:p w14:paraId="75CA89F3" w14:textId="77777777" w:rsidR="00AE36F5" w:rsidRPr="00AE36F5" w:rsidRDefault="00AE36F5" w:rsidP="00AE36F5">
      <w:pPr>
        <w:numPr>
          <w:ilvl w:val="0"/>
          <w:numId w:val="10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Occupational Diversity</w:t>
      </w:r>
      <w:r w:rsidRPr="00AE36F5">
        <w:rPr>
          <w:sz w:val="24"/>
          <w:szCs w:val="24"/>
        </w:rPr>
        <w:t>: Deposits come from a wide range of professions, contributing to a stable deposit base.</w:t>
      </w:r>
    </w:p>
    <w:p w14:paraId="761B1A59" w14:textId="77777777" w:rsidR="00AE36F5" w:rsidRPr="00AE36F5" w:rsidRDefault="00AE36F5" w:rsidP="00AE36F5">
      <w:pPr>
        <w:numPr>
          <w:ilvl w:val="0"/>
          <w:numId w:val="10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Engaged Client Base</w:t>
      </w:r>
      <w:r w:rsidRPr="00AE36F5">
        <w:rPr>
          <w:sz w:val="24"/>
          <w:szCs w:val="24"/>
        </w:rPr>
        <w:t>: High checking account volumes suggest active account usage and good customer engagement.</w:t>
      </w:r>
    </w:p>
    <w:p w14:paraId="08CEB7E7" w14:textId="7D27DE0F" w:rsidR="00AE36F5" w:rsidRPr="00AE36F5" w:rsidRDefault="00AE36F5" w:rsidP="00AE36F5"/>
    <w:p w14:paraId="7D71DE39" w14:textId="4D67FD50" w:rsidR="00AE36F5" w:rsidRPr="00AE36F5" w:rsidRDefault="00AE36F5" w:rsidP="00AE36F5">
      <w:pPr>
        <w:rPr>
          <w:b/>
          <w:bCs/>
          <w:sz w:val="28"/>
          <w:szCs w:val="28"/>
        </w:rPr>
      </w:pPr>
      <w:r w:rsidRPr="00AE36F5">
        <w:rPr>
          <w:b/>
          <w:bCs/>
          <w:sz w:val="28"/>
          <w:szCs w:val="28"/>
        </w:rPr>
        <w:t>Recommendations</w:t>
      </w:r>
    </w:p>
    <w:p w14:paraId="14673196" w14:textId="77777777" w:rsidR="00AE36F5" w:rsidRPr="00AE36F5" w:rsidRDefault="00AE36F5" w:rsidP="00AE36F5">
      <w:pPr>
        <w:numPr>
          <w:ilvl w:val="0"/>
          <w:numId w:val="1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Diversify Client Segments</w:t>
      </w:r>
      <w:r w:rsidRPr="00AE36F5">
        <w:rPr>
          <w:sz w:val="24"/>
          <w:szCs w:val="24"/>
        </w:rPr>
        <w:br/>
        <w:t>Increase outreach to underrepresented client groups to reduce dependency on private banking and specific nationalities.</w:t>
      </w:r>
    </w:p>
    <w:p w14:paraId="55E60B27" w14:textId="77777777" w:rsidR="00AE36F5" w:rsidRPr="00AE36F5" w:rsidRDefault="00AE36F5" w:rsidP="00AE36F5">
      <w:pPr>
        <w:numPr>
          <w:ilvl w:val="0"/>
          <w:numId w:val="1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Monitor Credit Risk</w:t>
      </w:r>
      <w:r w:rsidRPr="00AE36F5">
        <w:rPr>
          <w:sz w:val="24"/>
          <w:szCs w:val="24"/>
        </w:rPr>
        <w:br/>
        <w:t>Given the loan-to-deposit ratio, implement robust credit scoring and recovery mechanisms to minimize potential NPA (non-performing assets) growth.</w:t>
      </w:r>
    </w:p>
    <w:p w14:paraId="7546B1D4" w14:textId="77777777" w:rsidR="00AE36F5" w:rsidRPr="00AE36F5" w:rsidRDefault="00AE36F5" w:rsidP="00AE36F5">
      <w:pPr>
        <w:numPr>
          <w:ilvl w:val="0"/>
          <w:numId w:val="1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Strengthen Deposit Products</w:t>
      </w:r>
      <w:r w:rsidRPr="00AE36F5">
        <w:rPr>
          <w:sz w:val="24"/>
          <w:szCs w:val="24"/>
        </w:rPr>
        <w:br/>
        <w:t>Promote savings instruments and fixed deposits to boost long-term funds and reduce reliance on borrowed capital.</w:t>
      </w:r>
    </w:p>
    <w:p w14:paraId="342109FA" w14:textId="77777777" w:rsidR="00AE36F5" w:rsidRPr="00AE36F5" w:rsidRDefault="00AE36F5" w:rsidP="00AE36F5">
      <w:pPr>
        <w:numPr>
          <w:ilvl w:val="0"/>
          <w:numId w:val="1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Advisor Performance Review</w:t>
      </w:r>
      <w:r w:rsidRPr="00AE36F5">
        <w:rPr>
          <w:sz w:val="24"/>
          <w:szCs w:val="24"/>
        </w:rPr>
        <w:br/>
        <w:t>Utilize the advisor filters to assess loan and deposit performance by each advisor for incentive structuring or training interventions.</w:t>
      </w:r>
    </w:p>
    <w:p w14:paraId="72888E50" w14:textId="77777777" w:rsidR="00AE36F5" w:rsidRPr="00AE36F5" w:rsidRDefault="00AE36F5" w:rsidP="00AE36F5">
      <w:pPr>
        <w:numPr>
          <w:ilvl w:val="0"/>
          <w:numId w:val="11"/>
        </w:numPr>
        <w:rPr>
          <w:sz w:val="24"/>
          <w:szCs w:val="24"/>
        </w:rPr>
      </w:pPr>
      <w:r w:rsidRPr="00AE36F5">
        <w:rPr>
          <w:b/>
          <w:bCs/>
          <w:sz w:val="24"/>
          <w:szCs w:val="24"/>
        </w:rPr>
        <w:t>Demographic Analysis</w:t>
      </w:r>
      <w:r w:rsidRPr="00AE36F5">
        <w:rPr>
          <w:sz w:val="24"/>
          <w:szCs w:val="24"/>
        </w:rPr>
        <w:br/>
        <w:t>Deep-dive into underperforming nationality or occupation groups to identify barriers or growth opportunities.</w:t>
      </w:r>
    </w:p>
    <w:p w14:paraId="7BC892BD" w14:textId="37544A4E" w:rsidR="00AE36F5" w:rsidRPr="00AE36F5" w:rsidRDefault="00AE36F5" w:rsidP="00AE36F5"/>
    <w:p w14:paraId="58B24A47" w14:textId="4D9A00B2" w:rsidR="00AE36F5" w:rsidRPr="00AE36F5" w:rsidRDefault="00AE36F5" w:rsidP="00AE36F5">
      <w:pPr>
        <w:rPr>
          <w:b/>
          <w:bCs/>
          <w:sz w:val="28"/>
          <w:szCs w:val="28"/>
        </w:rPr>
      </w:pPr>
      <w:r w:rsidRPr="00AE36F5">
        <w:rPr>
          <w:b/>
          <w:bCs/>
          <w:sz w:val="28"/>
          <w:szCs w:val="28"/>
        </w:rPr>
        <w:t>Conclusion</w:t>
      </w:r>
    </w:p>
    <w:p w14:paraId="4AD87C1B" w14:textId="77777777" w:rsidR="00AE36F5" w:rsidRPr="00AE36F5" w:rsidRDefault="00AE36F5" w:rsidP="00AE36F5">
      <w:r w:rsidRPr="00AE36F5">
        <w:t xml:space="preserve">The Loan Risk Assessment Dashboard provides comprehensive insights into customer </w:t>
      </w:r>
      <w:proofErr w:type="spellStart"/>
      <w:r w:rsidRPr="00AE36F5">
        <w:t>behavior</w:t>
      </w:r>
      <w:proofErr w:type="spellEnd"/>
      <w:r w:rsidRPr="00AE36F5">
        <w:t>, lending risk, and deposit patterns. With strong loan activity and a healthy client base, the institution demonstrates good performance but should continue to monitor risks related to concentration, credit, and liquidity.</w:t>
      </w:r>
    </w:p>
    <w:p w14:paraId="7CEA90C9" w14:textId="77777777" w:rsidR="0037589C" w:rsidRDefault="0037589C"/>
    <w:sectPr w:rsidR="0037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26E9"/>
    <w:multiLevelType w:val="multilevel"/>
    <w:tmpl w:val="DFF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5908"/>
    <w:multiLevelType w:val="multilevel"/>
    <w:tmpl w:val="999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F7296"/>
    <w:multiLevelType w:val="multilevel"/>
    <w:tmpl w:val="84E6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42E8"/>
    <w:multiLevelType w:val="multilevel"/>
    <w:tmpl w:val="226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10FD5"/>
    <w:multiLevelType w:val="multilevel"/>
    <w:tmpl w:val="2D5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4DC9"/>
    <w:multiLevelType w:val="multilevel"/>
    <w:tmpl w:val="D9D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D20F1"/>
    <w:multiLevelType w:val="multilevel"/>
    <w:tmpl w:val="CC1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D3D8C"/>
    <w:multiLevelType w:val="multilevel"/>
    <w:tmpl w:val="E3C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5E2F"/>
    <w:multiLevelType w:val="multilevel"/>
    <w:tmpl w:val="D35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A49FC"/>
    <w:multiLevelType w:val="multilevel"/>
    <w:tmpl w:val="2FD0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E2027"/>
    <w:multiLevelType w:val="multilevel"/>
    <w:tmpl w:val="4E2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8144">
    <w:abstractNumId w:val="0"/>
  </w:num>
  <w:num w:numId="2" w16cid:durableId="2129280434">
    <w:abstractNumId w:val="9"/>
  </w:num>
  <w:num w:numId="3" w16cid:durableId="1227764090">
    <w:abstractNumId w:val="3"/>
  </w:num>
  <w:num w:numId="4" w16cid:durableId="1970554200">
    <w:abstractNumId w:val="7"/>
  </w:num>
  <w:num w:numId="5" w16cid:durableId="8219372">
    <w:abstractNumId w:val="10"/>
  </w:num>
  <w:num w:numId="6" w16cid:durableId="1279220616">
    <w:abstractNumId w:val="4"/>
  </w:num>
  <w:num w:numId="7" w16cid:durableId="1487624155">
    <w:abstractNumId w:val="6"/>
  </w:num>
  <w:num w:numId="8" w16cid:durableId="911622855">
    <w:abstractNumId w:val="5"/>
  </w:num>
  <w:num w:numId="9" w16cid:durableId="864637265">
    <w:abstractNumId w:val="1"/>
  </w:num>
  <w:num w:numId="10" w16cid:durableId="2014524409">
    <w:abstractNumId w:val="8"/>
  </w:num>
  <w:num w:numId="11" w16cid:durableId="68479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F5"/>
    <w:rsid w:val="0037589C"/>
    <w:rsid w:val="008C4D23"/>
    <w:rsid w:val="00AE36F5"/>
    <w:rsid w:val="00B33983"/>
    <w:rsid w:val="00B83107"/>
    <w:rsid w:val="00D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039"/>
  <w15:chartTrackingRefBased/>
  <w15:docId w15:val="{F4643A3F-7871-4285-BD3F-80EFF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6F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AE36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36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E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Adithya</dc:creator>
  <cp:keywords/>
  <dc:description/>
  <cp:lastModifiedBy>Jai Adithya</cp:lastModifiedBy>
  <cp:revision>1</cp:revision>
  <dcterms:created xsi:type="dcterms:W3CDTF">2025-06-20T04:22:00Z</dcterms:created>
  <dcterms:modified xsi:type="dcterms:W3CDTF">2025-06-20T04:30:00Z</dcterms:modified>
</cp:coreProperties>
</file>