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Handoff for Valentina</w:t>
      </w:r>
    </w:p>
    <w:p>
      <w:r>
        <w:t>Questionnaires vs. Natural Conversations</w:t>
      </w:r>
    </w:p>
    <w:p>
      <w:r>
        <w:t>Comparing Closed-Ended and Conversational PSS-4 Assessment</w:t>
      </w:r>
    </w:p>
    <w:p>
      <w:r>
        <w:t>Prepared for Valentina Kloster from the verified offline implementation coordinated by Jai Liu. The software and collection materials are ready for classroom dry runs. Genuine baseline results are pending. Valentina creates the presentation; this package supplies technical content and evidence.</w:t>
      </w:r>
    </w:p>
    <w:p>
      <w:pPr>
        <w:pStyle w:val="Heading1"/>
        <w:pageBreakBefore w:val="0"/>
      </w:pPr>
      <w:r>
        <w:t>Research question</w:t>
      </w:r>
    </w:p>
    <w:p>
      <w:r>
        <w:t>Does completing the PSS-4 through a conversational agent that maps free-text responses to the original PSS-4 categories, rather than through a traditional closed-ended format, change response agreement, usability, and completion time for adult participants?</w:t>
      </w:r>
    </w:p>
    <w:p>
      <w:pPr>
        <w:pStyle w:val="Heading1"/>
        <w:pageBreakBefore w:val="0"/>
      </w:pPr>
      <w:r>
        <w:t>Study design and hypotheses</w:t>
      </w:r>
    </w:p>
    <w:p>
      <w:r>
        <w:t>The independent variable is interaction format. A uses the five original PSS-4 response choices; B accepts typed free text. Primary dependent variables are response agreement, usability measured by the System Usability Scale, and completion time in seconds. Clarification rate is secondary. Closed-ended answers are a format-agreement reference, without being clinical ground truth.</w:t>
      </w:r>
    </w:p>
    <w:p>
      <w:r>
        <w:t>Use a within-subject repeated-measures pilot so each participant completes both conditions. The final evaluation targets six adults, minimum five. Assign three AB and three BA for six, or a 3/2 split for five. Record order before starting. Preliminary participants may be teammates and classmates; ask the professor before outside-class recruitment.</w:t>
      </w:r>
    </w:p>
    <w:p>
      <w:r>
        <w:t>H1 targets Cohen’s kappa of at least 0.80. H2 expects conversational SUS scores in a similar range to closed-ended scores. Both are hypotheses, not findings. Completion time is exploratory because the proposal literature reports mixed results. Ten-item SUS administration per condition remains part of final evaluation and is not implemented in this baseline app.</w:t>
      </w:r>
    </w:p>
    <w:p>
      <w:pPr>
        <w:pStyle w:val="Heading1"/>
        <w:pageBreakBefore w:val="0"/>
      </w:pPr>
      <w:r>
        <w:t>Approved change and verified status</w:t>
      </w:r>
    </w:p>
    <w:p>
      <w:r>
        <w:t>The supplied instructions attribute this project-specific direction to Professor Lisetti: “Collect free-text and closed-ended PSS-4 answers on a form, run your mapper offline.” The local application implements that fallback. eEVA access and integration were not verified. The research question, questionnaire wording and order are preserved; the offline baseline has no embodied agent.</w:t>
      </w:r>
    </w:p>
    <w:p>
      <w:r>
        <w:t>The recovered suite was rerun with 64 passing tests. The completed version PSS4-offline-1.1.0 passes 80 unit tests and 36 offline Edge browser checks, with 0 failures. The same 80 unit tests also execute inside Edge. All test responses and browser timings are synthetic software evidence. No genuine human responses were available in the recovered materials.</w:t>
      </w:r>
    </w:p>
    <w:p>
      <w:pPr>
        <w:pStyle w:val="Heading1"/>
        <w:pageBreakBefore/>
      </w:pPr>
      <w:r>
        <w:t>Implementation and mapping</w:t>
      </w:r>
    </w:p>
    <w:tbl>
      <w:tblPr>
        <w:tblW w:type="auto" w:w="0"/>
        <w:tblLayout w:type="fixed"/>
        <w:tblLook w:firstColumn="1" w:firstRow="1" w:lastColumn="0" w:lastRow="0" w:noHBand="0" w:noVBand="1" w:val="04A0"/>
      </w:tblPr>
      <w:tblGrid>
        <w:gridCol w:w="5112"/>
        <w:gridCol w:w="5112"/>
      </w:tblGrid>
      <w:tr>
        <w:trPr>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7E7"/>
          </w:tcPr>
          <w:p>
            <w:pPr>
              <w:spacing w:after="60" w:line="240" w:lineRule="auto"/>
            </w:pPr>
            <w:r>
              <w:rPr>
                <w:b/>
                <w:sz w:val="19"/>
              </w:rPr>
              <w:t>File</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7E7"/>
          </w:tcPr>
          <w:p>
            <w:pPr>
              <w:spacing w:after="60" w:line="240" w:lineRule="auto"/>
            </w:pPr>
            <w:r>
              <w:rPr>
                <w:b/>
                <w:sz w:val="19"/>
              </w:rPr>
              <w:t>Actual role</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01_Application/index.html</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Participant forms, anonymous code, assigned order, question area and researcher controls.</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01_Application/style.css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Typography, spacing, response controls and responsive layout.</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01_Application/core.js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PSS constants, mapper, Trial state machine, CSV export, backup validation, scoring and agreement.</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01_Application/app.js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DOM events, condition sequence, local recovery, import/export and researcher view.</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02_Tests/tests.js and tests.html</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Reusable test suite and browser-visible results.</w:t>
            </w:r>
          </w:p>
        </w:tc>
      </w:tr>
    </w:tbl>
    <w:p>
      <w:r>
        <w:t>Condition A presents one question at a time with five unselected options. A selection stores the raw 0–4 category. Condition B uses the identical wording and item order with a text box. Participants do not see mapping results. Keep Researcher tools closed during testing.</w:t>
      </w:r>
    </w:p>
    <w:p>
      <w:pPr>
        <w:pStyle w:val="Heading2"/>
      </w:pPr>
      <w:r>
        <w:t>Transparent deterministic categorization</w:t>
      </w:r>
    </w:p>
    <w:p>
      <w:r>
        <w:t>normalize() standardizes case, Unicode form, apostrophes, punctuation and whitespace. mapResponse() searches documented frequency phrases using word boundaries. Longer expressions are removed before shorter ones: “almost never” cannot be overwritten by “never,” and “very often” cannot become “often.” Different matching categories, uncertain wording, residual negation or unsupported numerical frequencies return an unclear result.</w:t>
      </w:r>
    </w:p>
    <w:tbl>
      <w:tblPr>
        <w:tblW w:type="auto" w:w="0"/>
        <w:tblLayout w:type="fixed"/>
        <w:tblLook w:firstColumn="1" w:firstRow="1" w:lastColumn="0" w:lastRow="0" w:noHBand="0" w:noVBand="1" w:val="04A0"/>
      </w:tblPr>
      <w:tblGrid>
        <w:gridCol w:w="5112"/>
        <w:gridCol w:w="5112"/>
      </w:tblGrid>
      <w:tr>
        <w:trPr>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7E7"/>
          </w:tcPr>
          <w:p>
            <w:pPr>
              <w:spacing w:after="60" w:line="240" w:lineRule="auto"/>
            </w:pPr>
            <w:r>
              <w:rPr>
                <w:b/>
                <w:sz w:val="19"/>
              </w:rPr>
              <w:t>Raw category</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7E7"/>
          </w:tcPr>
          <w:p>
            <w:pPr>
              <w:spacing w:after="60" w:line="240" w:lineRule="auto"/>
            </w:pPr>
            <w:r>
              <w:rPr>
                <w:b/>
                <w:sz w:val="19"/>
              </w:rPr>
              <w:t>Accepted examples in the frozen rules</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0 Never</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never; not at all</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1 Almost never</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hardly ever; rarely; seldom; not very often</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2 Sometimes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occasionally; once in a while; now and then</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3 Fairly often</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quite frequently; often; most days; regularly</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4 Very often</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almost every day; daily; always; all the time</w:t>
            </w:r>
          </w:p>
        </w:tc>
      </w:tr>
    </w:tbl>
    <w:p>
      <w:r>
        <w:t>This auditable heuristic is reproducible offline. Synonym choices are design assumptions to evaluate, without establishing semantic validity. No AI model was trained; no confidence probabilities or external APIs are used. The runtime needs only the local HTML, CSS and JavaScript files.</w:t>
      </w:r>
    </w:p>
    <w:p>
      <w:pPr>
        <w:pStyle w:val="Heading2"/>
      </w:pPr>
      <w:r>
        <w:t>Clarification and fallback</w:t>
      </w:r>
    </w:p>
    <w:p>
      <w:r>
        <w:t>A clear response saves its category and advances. An unclear answer gets one neutral prompt: “Could you describe how often that happened during the last month?” If still unclear, show the five original options. A manual selection records fallback=1 and mapping_success=0. Empty input gets one prompt; a second consecutive empty input records unanswered and advances. These rules prevent an endless clarification loop.</w:t>
      </w:r>
    </w:p>
    <w:p>
      <w:pPr>
        <w:pStyle w:val="Heading1"/>
        <w:pageBreakBefore/>
      </w:pPr>
      <w:r>
        <w:t>Logging and baseline analysis</w:t>
      </w:r>
    </w:p>
    <w:p>
      <w:r>
        <w:t>The 28 export fields preserve trial/session IDs, participant code, UTC date and time, version, condition/order, question, original response, closed category, initial automatic category, automatic category after clarification, final category, clarification text/count, fallback, mapping success, unanswered, item/condition milliseconds, start/end timestamps, error notes, trial type, notes, mapping history and rule ID. Keep names and consent records separate.</w:t>
      </w:r>
    </w:p>
    <w:p>
      <w:r>
        <w:t>Trial measures elapsed durations with performance.now(). Condition timing starts at its first question and ends at the fourth submission. It includes reading, typing, clarification and fallback; setup and the between-condition break are excluded. Each completed condition is counted once even though its duration is copied to four rows. Interrupted conditions retain rows and error notes, with unavailable total time.</w:t>
      </w:r>
    </w:p>
    <w:p>
      <w:pPr>
        <w:pStyle w:val="Heading2"/>
      </w:pPr>
      <w:r>
        <w:t>Primary and secondary agreement</w:t>
      </w:r>
    </w:p>
    <w:p>
      <w:r>
        <w:t>The primary baseline compares initial_auto_category against A. Secondary agreement compares auto_category after clarification against A. Structured fallback and unanswered items are excluded from automatic agreement. Pair within participant, question, version and session, requiring exactly one A and one B record. Retain missing/duplicate pairs in the log and explain exclusions.</w:t>
      </w:r>
    </w:p>
    <w:p>
      <w:r>
        <w:t>Exact agreement is matching eligible pairs divided by eligible pairs. Report numerator, denominator and coverage together. Unweighted Cohen’s kappa adjusts observed agreement for expected agreement calculated from the 5 by 5 category matrix. It is unavailable with fewer than two eligible pairs or degenerate marginals. Very small samples are unstable, and items within a person are dependent. Use descriptive statistics only.</w:t>
      </w:r>
    </w:p>
    <w:p>
      <w:r>
        <w:t>Clarification rate and structured-fallback rate divide affected B items by all applicable B items. Coverage divides automatically mapped items by all B items. Timing summaries give completed-run count, median, minimum and maximum seconds for each condition. PSS-4 total is Q1 + (4 − Q2) + (4 − Q3) + Q4, with range 0–16. Compare raw categories for agreement; reverse items 2 and 3 only for the total. Incomplete totals remain blank. Final scores can include manual fallback, identifiable in the raw log.</w:t>
      </w:r>
    </w:p>
    <w:p>
      <w:pPr>
        <w:pStyle w:val="Heading2"/>
      </w:pPr>
      <w:r>
        <w:t>Workbook and data operation</w:t>
      </w:r>
    </w:p>
    <w:p>
      <w:r>
        <w:t>PSS4_Offline_Trial_Log.xlsx is a replacement pending official-template verification. Open a CSV in Excel and copy its data values, without its header, into Trial Rows A2:AB201. Capacity is 200 item rows, equivalent to 25 complete paired sessions. Keep the 28-column order. Empty categories must stay blank, since zero means Never.</w:t>
      </w:r>
    </w:p>
    <w:p>
      <w:r>
        <w:t>Select the trial type and frozen version on Summary. Use fallback for actual classroom offline-baseline trials. Synthetic and dry run data are separate datasets; the real workbook is initially empty. Participant Results shows each logged B session’s agreement and both total scores. Export CSV and JSON after each session. JSON preserves the original text; CSV protects formula-leading text with an apostrophe and quotes commas, quotes and line breaks.</w:t>
      </w:r>
    </w:p>
    <w:p>
      <w:r>
        <w:t>Local browser recovery is a convenience rather than the study archive. Recovery flags an interrupted condition and records the active item as unanswered. Export it, document the interruption and restart the affected series with a new code. Keep failures and disagreements rather than selectively discarding them.</w:t>
      </w:r>
    </w:p>
    <w:p>
      <w:pPr>
        <w:pStyle w:val="Heading1"/>
        <w:pageBreakBefore/>
      </w:pPr>
      <w:r>
        <w:t>Verified evidence and limitations</w:t>
      </w:r>
    </w:p>
    <w:p>
      <w:r>
        <w:t>All screenshot filenames below are in 05_Valentina_Handoff/Screenshots. They show actual browser execution or workbook renders. The synthetic calculation image is a test, never a baseline finding.</w:t>
      </w:r>
    </w:p>
    <w:tbl>
      <w:tblPr>
        <w:tblW w:type="auto" w:w="0"/>
        <w:tblLayout w:type="fixed"/>
        <w:tblLook w:firstColumn="1" w:firstRow="1" w:lastColumn="0" w:lastRow="0" w:noHBand="0" w:noVBand="1" w:val="04A0"/>
      </w:tblPr>
      <w:tblGrid>
        <w:gridCol w:w="3408"/>
        <w:gridCol w:w="3408"/>
        <w:gridCol w:w="3408"/>
      </w:tblGrid>
      <w:tr>
        <w:trPr>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7E7"/>
          </w:tcPr>
          <w:p>
            <w:pPr>
              <w:spacing w:after="60" w:line="240" w:lineRule="auto"/>
            </w:pPr>
            <w:r>
              <w:rPr>
                <w:b/>
                <w:sz w:val="19"/>
              </w:rPr>
              <w:t>Feature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7E7"/>
          </w:tcPr>
          <w:p>
            <w:pPr>
              <w:spacing w:after="60" w:line="240" w:lineRule="auto"/>
            </w:pPr>
            <w:r>
              <w:rPr>
                <w:b/>
                <w:sz w:val="19"/>
              </w:rPr>
              <w:t>Actual evidence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7E7"/>
          </w:tcPr>
          <w:p>
            <w:pPr>
              <w:spacing w:after="60" w:line="240" w:lineRule="auto"/>
            </w:pPr>
            <w:r>
              <w:rPr>
                <w:b/>
                <w:sz w:val="19"/>
              </w:rPr>
              <w:t>Screenshot</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Both formats offline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36 Edge checks pass with network disabled; no external requests or page errors.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01_Application_Home.png; 02_Condition_A.png; 03_Condition_B.png</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Mapper</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80 unit tests pass, including phrase precedence, ambiguity and negation.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04_Automatic_Mapping.png</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Clarification and choices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UI exercises unclear text, one clarification and structured fallback.</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05_Clarification.png; 06_Fallback.png</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Logging and recovery</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Eight synthetic item rows exported; backup import and interrupted-session recovery verified.</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07_Logging_SYNTHETIC.png</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Executed test output</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Individual assertions saved in unit_results.json and browser_results.json.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08_Executed_Test_Results.png</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Original tracker</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Ownership and article values retained; verified offline tasks added separately.</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09_Task_Tracker.png; 10_Offline_Tasks.png</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Workbook calculations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Synthetic formula fixture; independent expected values and native Excel checks saved separately.</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12_Empty_Baseline_Summary.png; 13_SYNTHETIC_Calculation_Check.png</w:t>
            </w:r>
          </w:p>
        </w:tc>
      </w:tr>
    </w:tbl>
    <w:p>
      <w:r>
        <w:t>Detailed calculation checks are in 02_Tests/spreadsheet_results.json. Native application verification is in native_excel_results.json. These verify calculation and file behavior, without providing participant outcomes.</w:t>
      </w:r>
    </w:p>
    <w:p>
      <w:pPr>
        <w:pStyle w:val="Heading2"/>
      </w:pPr>
      <w:r>
        <w:t>Social controls</w:t>
      </w:r>
    </w:p>
    <w:p>
      <w:r>
        <w:t>Both offline conditions share the introduction, farewell, typography, question area, exact wording and item order. No embodiment, facial expression, gaze, voice, head movement or gesture is available. eEVA social-cue matching remains unverified. Feine’s taxonomy motivates controlling social cues; Computers Are Social Actors motivates investigating social responses to interfaces. Neither proves that the text-only app reproduces an embodied agent.</w:t>
      </w:r>
    </w:p>
    <w:p>
      <w:pPr>
        <w:pStyle w:val="Heading2"/>
      </w:pPr>
      <w:r>
        <w:t>Practical and research limits</w:t>
      </w:r>
    </w:p>
    <w:p>
      <w:r>
        <w:t>The English phrase list has limited coverage and can misunderstand context even when a known phrase appears. Report clarification, fallback and coverage alongside agreement. Repeating four items can create memory effects; counterbalancing reduces order imbalance without eliminating carryover. A small class sample cannot establish clinical validity or broad generalizability. The app provides no diagnosis or treatment recommendations.</w:t>
      </w:r>
    </w:p>
    <w:p>
      <w:r>
        <w:t>Recovery depends on browser file-URL storage policy. The app stores recovery data locally in the browser profile without app-level encryption. Use a restricted laptop/profile, verify exports and clear the cohort afterward. No faces or voices are recorded. Full SUS collection and human dry runs remain outstanding.</w:t>
      </w:r>
    </w:p>
    <w:p>
      <w:pPr>
        <w:pStyle w:val="Heading1"/>
        <w:pageBreakBefore/>
      </w:pPr>
      <w:r>
        <w:t>Presentation content and dates</w:t>
      </w:r>
    </w:p>
    <w:p>
      <w:r>
        <w:t>Use the exact project title Questionnaires vs. Natural Conversations, Project 2.1, CAP 5627, Fall 2026, Jai Liu and Valentina Kloster. Keep the original proposal division: Valentina led planned closed-ended implementation and integration, while Jai led conversation and mapping. Current technical completion is coordinated by Jai; presentation creation is Valentina’s responsibility. Tracker hours are estimates, and actual hours require confirmation.</w:t>
      </w:r>
    </w:p>
    <w:p>
      <w:r>
        <w:t>Suggested allocation for roughly 12 minutes including questions: title 20 seconds; research question/proposal 60 seconds; progress/demo 90 seconds; architecture/mapper 90 seconds; baseline 90 seconds; design/controls 90 seconds; remaining work/risks 60 seconds; questions about 2 minutes. Both members present. Jai explains implementation/evidence; Valentina explains study design, findings and presentation organization.</w:t>
      </w:r>
    </w:p>
    <w:p>
      <w:pPr>
        <w:pStyle w:val="Heading2"/>
      </w:pPr>
      <w:r>
        <w:t>Baseline slide template</w:t>
      </w:r>
    </w:p>
    <w:p>
      <w:r>
        <w:t>Setup is the offline fallback; version is PSS4-offline-1.1.0, frozen October 21 2026. Fill the blank cells only after genuine collection. Include one real observation and a plan to finish baseline by November 9.</w:t>
      </w:r>
    </w:p>
    <w:tbl>
      <w:tblPr>
        <w:tblW w:type="auto" w:w="0"/>
        <w:tblLayout w:type="fixed"/>
        <w:tblLook w:firstColumn="1" w:firstRow="1" w:lastColumn="0" w:lastRow="0" w:noHBand="0" w:noVBand="1" w:val="04A0"/>
      </w:tblPr>
      <w:tblGrid>
        <w:gridCol w:w="5112"/>
        <w:gridCol w:w="5112"/>
      </w:tblGrid>
      <w:tr>
        <w:trPr>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7E7"/>
          </w:tcPr>
          <w:p>
            <w:pPr>
              <w:spacing w:after="60" w:line="240" w:lineRule="auto"/>
            </w:pPr>
            <w:r>
              <w:rPr>
                <w:b/>
                <w:sz w:val="19"/>
              </w:rPr>
              <w:t>Measure</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7E7"/>
          </w:tcPr>
          <w:p>
            <w:pPr>
              <w:spacing w:after="60" w:line="240" w:lineRule="auto"/>
            </w:pPr>
            <w:r>
              <w:rPr>
                <w:b/>
                <w:sz w:val="19"/>
              </w:rPr>
              <w:t>Actual pilot result pending collection</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Participants and eligible paired items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First-response matches / eligible and agreement percent</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First-response kappa and paired count</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Clarified automatic agreement and coverage</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A and B completed-run count and median min max seconds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Clarification and structured-fallback rates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One observation and exclusion reasons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r>
          </w:p>
        </w:tc>
      </w:tr>
    </w:tbl>
    <w:tbl>
      <w:tblPr>
        <w:tblW w:type="auto" w:w="0"/>
        <w:tblLayout w:type="fixed"/>
        <w:tblLook w:firstColumn="1" w:firstRow="1" w:lastColumn="0" w:lastRow="0" w:noHBand="0" w:noVBand="1" w:val="04A0"/>
      </w:tblPr>
      <w:tblGrid>
        <w:gridCol w:w="5112"/>
        <w:gridCol w:w="5112"/>
      </w:tblGrid>
      <w:tr>
        <w:trPr>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7E7"/>
          </w:tcPr>
          <w:p>
            <w:pPr>
              <w:spacing w:after="60" w:line="240" w:lineRule="auto"/>
            </w:pPr>
            <w:r>
              <w:rPr>
                <w:b/>
                <w:sz w:val="19"/>
              </w:rPr>
              <w:t>Date</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7E7"/>
          </w:tcPr>
          <w:p>
            <w:pPr>
              <w:spacing w:after="60" w:line="240" w:lineRule="auto"/>
            </w:pPr>
            <w:r>
              <w:rPr>
                <w:b/>
                <w:sz w:val="19"/>
              </w:rPr>
              <w:t>Remaining action</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October 22</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Run 1–2 human team dry runs, obtain voluntary participation, collect classmate fallback trials and export each session.</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October 26 by 11:59 PM Eastern</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Add actual results/hours, review, rehearse and submit PDF p2-2.1-kloster-liu.pdf, tracker and baseline log to Canvas.</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October 27</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Both members present; slides numbered, minimum 15-point text including tables; about 12 minutes with questions.</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November 9 and November 15</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Finish baseline by Nov 9 and roughly 5–6 adult evaluation sessions by Nov 15.</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November 22 to December 7</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Analysis by Nov 22; final slides Nov 23; final report/materials Dec 7.</w:t>
            </w:r>
          </w:p>
        </w:tc>
      </w:tr>
    </w:tbl>
    <w:p>
      <w:pPr>
        <w:pStyle w:val="Heading1"/>
        <w:pageBreakBefore/>
      </w:pPr>
      <w:r>
        <w:t>Research justification</w:t>
      </w:r>
    </w:p>
    <w:p>
      <w:r>
        <w:t>Descriptions below come from the supplied proposal summary and preserved Article Analysis tab. Original papers were not independently checked during this work. Attribute numerical findings to the proposal literature summary unless the team verifies the papers.</w:t>
      </w:r>
    </w:p>
    <w:p>
      <w:r>
        <w:t>Maharjan et al. (2021): the proposal reports alignment r = .91 for discrete versus .77 for open-ended responses, faster open-ended interaction and manual mapping. This motivates evaluating automatic mapping rather than assuming natural responses preserve categories.</w:t>
      </w:r>
    </w:p>
    <w:p>
      <w:r>
        <w:t>Boian et al. (2025): the proposal reports automatic mapping with clarification, a 4.64% clarification rate and kappas .800, .763 and .845 across three instruments. This motivates explicit clarification logging. Their trained hybrid framework differs from our deterministic PSS-4 heuristic.</w:t>
      </w:r>
    </w:p>
    <w:p>
      <w:r>
        <w:t>Guo et al. (2026): the proposal reports ICC .922 and Spearman rho .92 for HopeBot and the use of clarification. Its LLM-based PHQ-9 findings do not establish PSS-4 agreement for our app.</w:t>
      </w:r>
    </w:p>
    <w:p>
      <w:r>
        <w:t>Soni et al. (2022): the proposal reports chatbot preference with longer completion time. Jin et al. (2024): the proposal reports higher assessment credibility and self-awareness in form conditions. Together they justify measuring usability and time without presuming conversational superiority.</w:t>
      </w:r>
    </w:p>
    <w:p>
      <w:r>
        <w:t>Krajcovic et al. (2026): the proposal discusses embodiment and modality effects on response quality and engagement. This supports documenting the absence of the embodied eEVA agent in the current fallback.</w:t>
      </w:r>
    </w:p>
    <w:p>
      <w:r>
        <w:t>Feine et al. (2019) and Nass, Steuer and Tauber (1994) inform intended social-cue controls and the Computers Are Social Actors perspective. PSS references justify the instrument and reverse coding; Brooke (1996) supports the planned SUS usability measure. These sources provide background, without validating our mapper.</w:t>
      </w:r>
    </w:p>
    <w:p>
      <w:pPr>
        <w:pStyle w:val="Heading2"/>
      </w:pPr>
      <w:r>
        <w:t>Risks and instructor questions</w:t>
      </w:r>
    </w:p>
    <w:p>
      <w:r>
        <w:t>Mitigate the eEVA outage with the approved fallback. Freeze a new version and restart affected trials after fixes. Export after sessions, counterbalance order and retain ambiguity/failure records. Ask the instructor about official trial-log alignment, outside-class recruitment, and the 20-point header versus 40-point rubric. No university submission or professor message was sent.</w:t>
      </w:r>
    </w:p>
    <w:p>
      <w:pPr>
        <w:pStyle w:val="Heading2"/>
      </w:pPr>
      <w:r>
        <w:t>Evidence claims for slides</w:t>
      </w:r>
    </w:p>
    <w:p>
      <w:r>
        <w:t>Say “offline fallback implemented and browser-tested,” “80 unit tests and 36 UI checks passed,” and “actual baseline pending.” Cite genuine screenshots and saved logs beside the corresponding feature. Avoid “eEVA integrated,” “baseline completed,” “fully tested,” or achieved kappa/SUS claims without evidence.</w:t>
      </w:r>
    </w:p>
    <w:p>
      <w:r>
        <w:t>Delay reporting should distinguish the supplied eEVA outage from unfinished participant work. The technical infrastructure is complete within the verified scope; human collection, actual hours and presentation preparation remain. For progress screenshots, use the tracker’s original statuses together with the separately added offline tasks so the scope is clear.</w:t>
      </w:r>
    </w:p>
    <w:p>
      <w:pPr>
        <w:pStyle w:val="Heading1"/>
        <w:pageBreakBefore/>
      </w:pPr>
      <w:r>
        <w:t>Reference list</w:t>
      </w:r>
    </w:p>
    <w:p>
      <w:r>
        <w:t>Maharjan, R., Rohani, D. A., Bækgaard, P., Bardram, J. E., &amp; Doherty, K. (2021). Can we talk? Design implications for the questionnaire-driven self-report of health and wellbeing via conversational agent. CUI ’21. https://doi.org/10.1145/3469595.3469600</w:t>
      </w:r>
    </w:p>
    <w:p>
      <w:r>
        <w:t>Boian, R., Bucur, A.-M., Todea, D., Luca, A., Rebedea, T., &amp; Podina, I. R. (2025). A conversational agent framework for mental health screening: Design, implementation, and usability. Behaviour &amp; Information Technology, 44(10), 2364–2378. https://doi.org/10.1080/0144929X.2024.2332934</w:t>
      </w:r>
    </w:p>
    <w:p>
      <w:r>
        <w:t>Guo, Z., Lai, A., Ive, J., Petcu, A., Wang, Y., Qi, L., Thygesen, J. H., &amp; Li, K. (2026). Feasibility and user evaluation of HopeBot: An LLM-powered conversational chatbot for depression screening. PLOS Digital Health, 5(6), e0001446. https://doi.org/10.1371/journal.pdig.0001446</w:t>
      </w:r>
    </w:p>
    <w:p>
      <w:r>
        <w:t>Soni, H., Ivanova, J., Wilczewski, H., Bailey, A., Ong, T., Narma, A., Bunnell, B. E., &amp; Welch, B. M. (2022). Virtual conversational agents versus online forms: Patient experience and preferences for health data collection. Frontiers in Digital Health, 4, 954069. https://doi.org/10.3389/fdgth.2022.954069</w:t>
      </w:r>
    </w:p>
    <w:p>
      <w:r>
        <w:t>Jin, Y., Chen, L., Zhao, X., &amp; Cai, W. (2024). The way you assess matters: User interaction design of survey chatbots for mental health. International Journal of Human-Computer Studies, 189, 103290. https://doi.org/10.1016/j.ijhcs.2024.103290</w:t>
      </w:r>
    </w:p>
    <w:p>
      <w:r>
        <w:t>Krajcovic, M., Demcak, P., &amp; Kuric, E. (2026). Talking surveys: How photorealistic embodied conversational agents shape response quality, engagement, and satisfaction. Behavior Research Methods, 58, 212. https://doi.org/10.3758/s13428-026-03091-0</w:t>
      </w:r>
    </w:p>
    <w:p>
      <w:r>
        <w:t>Feine, J., Gnewuch, U., Morana, S., &amp; Maedche, A. (2019). A taxonomy of social cues for conversational agents. International Journal of Human-Computer Studies. https://doi.org/10.1016/j.ijhcs.2019.07.009</w:t>
      </w:r>
    </w:p>
    <w:p>
      <w:r>
        <w:t>Nass, C., Steuer, J., &amp; Tauber, E. R. (1994). Computers are social actors. CHI ’94. https://doi.org/10.1145/191666.191703</w:t>
      </w:r>
    </w:p>
    <w:p>
      <w:r>
        <w:t>Cohen, S., Kamarck, T., &amp; Mermelstein, R. (1983). A global measure of perceived stress. Journal of Health and Social Behavior, 24(4), 385–396.</w:t>
      </w:r>
    </w:p>
    <w:p>
      <w:r>
        <w:t>Cohen, S., &amp; Williamson, G. M. (1988). Perceived stress in a probability sample of the United States. In The social psychology of health. Sage.</w:t>
      </w:r>
    </w:p>
    <w:p>
      <w:r>
        <w:t>Brooke, J. (1996). SUS: A quick and dirty usability scale. In Usability evaluation in industry. Taylor &amp; Francis.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October 21 2026  |  PSS4-offline-1.1.0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FIU  |  CAP 5627  |  Project 2.1  |  Fall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CAP 5627 Project 2.1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