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Jai Implementation Explanation</w:t>
      </w:r>
    </w:p>
    <w:p>
      <w:r>
        <w:t>How to operate and explain the actual offline PSS4 project</w:t>
      </w:r>
    </w:p>
    <w:p>
      <w:r>
        <w:t>This guide explains the files you are handing over and questions Professor Lisetti may ask. The app is an offline research prototype ready for classroom dry runs. Tests are synthetic software evidence. Human pilot results, actual work hours and eEVA integration remain pending.</w:t>
      </w:r>
    </w:p>
    <w:p>
      <w:pPr>
        <w:pStyle w:val="Heading1"/>
        <w:pageBreakBefore w:val="0"/>
      </w:pPr>
      <w:r>
        <w:t>What the project does</w:t>
      </w:r>
    </w:p>
    <w:p>
      <w:r>
        <w:t>We compare two ways to answer the same four Perceived Stress Scale questions about the last month. In A, a person clicks Never, Almost never, Sometimes, Fairly often or Very often. Their raw values are 0, 1, 2, 3 and 4. In B, the person types their own words. Our rules translate a supported frequency phrase into one of those five values. We measure agreement, usability and time.</w:t>
      </w:r>
    </w:p>
    <w:p>
      <w:r>
        <w:t>PSS-4 is a brief perceived-stress questionnaire. It is not a diagnosis. Questions 2 and 3 describe positive experiences, so only the total stress score reverses those answers. Agreement uses raw categories so a response value means the same thing in both formats.</w:t>
      </w:r>
    </w:p>
    <w:p>
      <w:pPr>
        <w:pStyle w:val="Heading1"/>
        <w:pageBreakBefore w:val="0"/>
      </w:pPr>
      <w:r>
        <w:t>The actual application files</w:t>
      </w:r>
    </w:p>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File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What to say about it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index.html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HTML defines forms, the question area, buttons and researcher controls.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style.css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CSS controls fonts, spacing, colors and layout.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core.js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JavaScript implements the questions, mapper, state machine, timing, scoring, CSV and agreement math.</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app.js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JavaScript connects those functions to clicks and typed responses, and handles recovery and exports.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../02_Tests/tests.html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Double-click to rerun 80 tests in a browser. tests.js contains the assertions.</w:t>
            </w:r>
          </w:p>
        </w:tc>
      </w:tr>
    </w:tbl>
    <w:p>
      <w:pPr>
        <w:pStyle w:val="Heading1"/>
        <w:pageBreakBefore w:val="0"/>
      </w:pPr>
      <w:r>
        <w:t>How the two formats work</w:t>
      </w:r>
    </w:p>
    <w:p>
      <w:r>
        <w:t>The start form stores an anonymous code, AB/BA order, trial type and notes. begin() creates a Trial for the next assigned condition. render() displays exactly one question. A has five unselected radio buttons; B has a text box. The answer form calls Trial.submit(). Each completed item produces a row. After item 4, the condition ends and the next button starts the other format.</w:t>
      </w:r>
    </w:p>
    <w:p>
      <w:r>
        <w:t>A new session resets question state while retaining recorded cohort rows. The app rejects reuse of a participant code within one trial type. Session IDs and version fields also prevent unrelated records from being paired. Researcher tools stay closed during participant testing so automatic categories do not influence later answers.</w:t>
      </w:r>
    </w:p>
    <w:p>
      <w:pPr>
        <w:pStyle w:val="Heading1"/>
        <w:pageBreakBefore/>
      </w:pPr>
      <w:r>
        <w:t>How the mapper decides</w:t>
      </w:r>
    </w:p>
    <w:p>
      <w:r>
        <w:t>The mapper is deterministic: the same text produces the same result. It is a frequency-phrase rule list, not a trained AI model. normalize() lowercases text, standardizes apostrophes and removes punctuation differences. mapResponse() looks for supported phrases, checks ambiguity, and returns an object containing category, status, rule_id, normalized text and reason.</w:t>
      </w:r>
    </w:p>
    <w:tbl>
      <w:tblPr>
        <w:tblW w:type="auto" w:w="0"/>
        <w:tblLayout w:type="fixed"/>
        <w:tblLook w:firstColumn="1" w:firstRow="1" w:lastColumn="0" w:lastRow="0" w:noHBand="0" w:noVBand="1" w:val="04A0"/>
      </w:tblPr>
      <w:tblGrid>
        <w:gridCol w:w="5112"/>
        <w:gridCol w:w="51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Response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60" w:line="240" w:lineRule="auto"/>
            </w:pPr>
            <w:r>
              <w:rPr>
                <w:b/>
                <w:sz w:val="19"/>
              </w:rPr>
              <w:t>Outcome and reason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Almost never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Category 1. The longer phrase is matched before never.</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Hardly ever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Category 1, a documented low-frequency synonym.</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Occasionally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Category 2, a documented intermittent-frequency synonym.</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Quite frequently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Category 3, a documented frequent-frequency synonym.</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Almost every day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Category 4, a documented high-frequency synonym.</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Not sure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because the person expresses uncertainty.</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Sometimes and almost every day</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because two categories conflict.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Not sometimes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because remaining negation changes the meaning.</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3 times last month</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19"/>
              </w:rPr>
              <w:t>Clarification because no validated numerical threshold is assumed.</w:t>
            </w:r>
          </w:p>
        </w:tc>
      </w:tr>
    </w:tbl>
    <w:p>
      <w:r>
        <w:t>RULES removes longer matched phrases before checking shorter ones. That prevents category precedence errors. If different categories are found, uncertainty words appear, negation remains, or a numeric frequency needs interpretation, the mapper asks for clarification rather than guessing. Recognizing a phrase is still not full sentence understanding; unsupported language and context can cause errors.</w:t>
      </w:r>
    </w:p>
    <w:p>
      <w:pPr>
        <w:pStyle w:val="Heading1"/>
        <w:pageBreakBefore w:val="0"/>
      </w:pPr>
      <w:r>
        <w:t>Clarification and fallback</w:t>
      </w:r>
    </w:p>
    <w:p>
      <w:r>
        <w:t>Trial.submit() allows one neutral clarification after an unclear answer. The exact prompt is “Could you describe how often that happened during the last month?” If the next nonempty answer is still unclear, state becomes fallback and render() shows the five original options.</w:t>
      </w:r>
    </w:p>
    <w:p>
      <w:r>
        <w:t>The selected fallback value becomes final_category, while auto_category stays empty and mapping_success is 0. We retain the participant’s final choice without counting it as automatic success. A clear clarification can instead produce an automatic category, identifiable by clarification_count=1.</w:t>
      </w:r>
    </w:p>
    <w:p>
      <w:r>
        <w:t>An empty answer gets one prompt. Two consecutive empty responses record the item as unanswered and move on. An empty retry can resolve with clear text. Empty prompting is separate from the clarification counter. The bounded states prevent an endless clarification loop.</w:t>
      </w:r>
    </w:p>
    <w:p>
      <w:pPr>
        <w:pStyle w:val="Heading1"/>
        <w:pageBreakBefore/>
      </w:pPr>
      <w:r>
        <w:t>Saving data and measuring time</w:t>
      </w:r>
    </w:p>
    <w:p>
      <w:r>
        <w:t>Trial.finish() creates one item row. Key fields are original_response, initial_auto_category, auto_category, final_category, clarification_count, fallback, mapping_success and unanswered. The original and clarification texts are preserved separately; history contains the structured mapping attempts. An A answer is stored in closed_category.</w:t>
      </w:r>
    </w:p>
    <w:p>
      <w:r>
        <w:t>Trial starts a performance.now() clock. Item timing is milliseconds since that question began. The fourth submission records total condition time on all four rows, but analysis counts that condition once. Timing includes reading, typing, clarification and fallback. Setup and the pause between formats are excluded. UTC timestamps identify when records were written; elapsed times use a monotonic clock.</w:t>
      </w:r>
    </w:p>
    <w:p>
      <w:r>
        <w:t>app.js persist() journals rows and the active item to localStorage when browser policy allows. The header states whether recovery is available. On reload, restore() keeps earlier rows and flags the condition as interrupted. It does not invent a completion time or silently resume a timed trial. interruptCurrent() records the current missing item. Use a new code when restarting the affected participant series.</w:t>
      </w:r>
    </w:p>
    <w:p>
      <w:r>
        <w:t>Local recovery is stored in the browser profile without app-level encryption. Use a restricted laptop/profile. Export CSV and JSON after each session, check the files, and keep them in a restricted study folder. Names should not appear in participant codes or notes. The app records typed responses only, with no camera, microphone or uploads.</w:t>
      </w:r>
    </w:p>
    <w:p>
      <w:pPr>
        <w:pStyle w:val="Heading1"/>
        <w:pageBreakBefore w:val="0"/>
      </w:pPr>
      <w:r>
        <w:t>Export and backup import</w:t>
      </w:r>
    </w:p>
    <w:p>
      <w:r>
        <w:t>PSS.csv() adds a UTF-8 BOM and quotes every field. Internal quotation marks are doubled, so commas and line breaks stay in one Excel cell. Text beginning with a spreadsheet formula character receives a protective apostrophe. JSON preserves the original values without that CSV protection. download() creates the local browser download.</w:t>
      </w:r>
    </w:p>
    <w:p>
      <w:r>
        <w:t>validateRows() checks backup structure, categories, flags, identifiers and timing. Import accepts only the frozen version and skips already-loaded trial IDs. Earlier-version data is not silently merged. New participant keeps prior cohort rows. Clear all session data removes the cohort and resets the form after confirmation. Export and verify backups first.</w:t>
      </w:r>
    </w:p>
    <w:p>
      <w:pPr>
        <w:pStyle w:val="Heading1"/>
        <w:pageBreakBefore w:val="0"/>
      </w:pPr>
      <w:r>
        <w:t>Errors and unfinished conditions</w:t>
      </w:r>
    </w:p>
    <w:p>
      <w:r>
        <w:t>If the participant stops, New participant retains answered rows and records the active item as unanswered with an error note. Refresh/restart recovery flags the interrupted series and leaves condition time unavailable. Completed conditions remain recorded. Keep every failure and document exclusions. Recovery is helpful, but exports are the archive and file-URL storage can vary by browser policy.</w:t>
      </w:r>
    </w:p>
    <w:p>
      <w:pPr>
        <w:pStyle w:val="Heading1"/>
        <w:pageBreakBefore/>
      </w:pPr>
      <w:r>
        <w:t>Understanding agreement and scoring</w:t>
      </w:r>
    </w:p>
    <w:p>
      <w:r>
        <w:t>analyze() selects a trial type. Use fallback for actual offline-baseline classmates, genuine pilot for separately labeled actual pilot trials, dry run for human practice and synthetic for software examples. Never present generated tests as participant results.</w:t>
      </w:r>
    </w:p>
    <w:p>
      <w:r>
        <w:t>Pair A and B within the same participant, question, session and version. Reject missing or duplicate conditions. For the professor’s first-approach baseline, use first_response, which compares initial_auto_category with the raw closed category. The other agreement fields describe automatic mapping after clarification. Manual fallback and unanswered responses are excluded from automatic agreement. Report coverage and exclusion counts alongside agreement.</w:t>
      </w:r>
    </w:p>
    <w:p>
      <w:r>
        <w:t>Percentage agreement asks how often the two categories are identical. Two matches among four eligible pairs give 50%. Cohen’s kappa adjusts observed agreement for the agreement expected from the category frequencies. It can be negative, zero or positive; one means perfect agreement. It is undefined when the marginals have no variation, and unstable for a tiny pilot.</w:t>
      </w:r>
    </w:p>
    <w:p>
      <w:r>
        <w:t>A synthetic hand-check uses pairs (0,0), (1,1), (2,3), (3,2). There are two matches in four pairs, so observed agreement is .50. Expected agreement is .25. Kappa is (.50 − .25) / (1 − .25), or one third. This is a software test example, not a participant finding.</w:t>
      </w:r>
    </w:p>
    <w:p>
      <w:r>
        <w:t>Clarification rate divides B items requiring clarification by all B items. Structured-fallback rate divides B items requiring choices after failed clarification by all B items. Mapping coverage divides automatically categorized B items by all B items. First-response agreement and clarified agreement remain separate because clarification can change the answer available to the mapper.</w:t>
      </w:r>
    </w:p>
    <w:p>
      <w:r>
        <w:t>score() computes Q1 + (4 − Q2) + (4 − Q3) + Q4. For raw [0,1,3,4], the total is 0 + 3 + 1 + 4 = 8. Missing items make the score unavailable. Final totals may include manual fallback, which stays identifiable in the log. No total is interpreted clinically.</w:t>
      </w:r>
    </w:p>
    <w:p>
      <w:pPr>
        <w:pStyle w:val="Heading1"/>
        <w:pageBreakBefore w:val="0"/>
      </w:pPr>
      <w:r>
        <w:t>Why the study design matters</w:t>
      </w:r>
    </w:p>
    <w:p>
      <w:r>
        <w:t>Each participant completes both formats, serving as their own comparison. AB/BA counterbalancing distributes order effects. It cannot remove memory of repeated questions. SUS will later add ten usability items per condition and a 0–100 score; it measures usability rather than stress. The current mid-project app does not implement SUS administration.</w:t>
      </w:r>
    </w:p>
    <w:p>
      <w:r>
        <w:t>The intended eEVA study also controls agent appearance, greeting, farewell, acknowledgement, expression and gestures across formats. The fallback shares wording, layout, introduction and farewell but has no embodied agent. This difference must be acknowledged when interpreting the baseline.</w:t>
      </w:r>
    </w:p>
    <w:p>
      <w:pPr>
        <w:pStyle w:val="Heading1"/>
        <w:pageBreakBefore/>
      </w:pPr>
      <w:r>
        <w:t>Classroom demonstration</w:t>
      </w:r>
    </w:p>
    <w:p>
      <w:r>
        <w:t>1. Open 01_Application/index.html in Chrome or Edge. Keep the entire folder together so the local scripts and styles resolve. It can run offline.</w:t>
      </w:r>
    </w:p>
    <w:p>
      <w:r>
        <w:t>2. Enter TESTDEMO, choose AB and Synthetic software test, and enter SYNTHETIC TEST DATA in notes. Keep Researcher tools closed during the questions.</w:t>
      </w:r>
    </w:p>
    <w:p>
      <w:r>
        <w:t>3. Finish A by selecting any answer to each item, then start B. Type Sometimes for its first item. It should advance without exposing the mapped category.</w:t>
      </w:r>
    </w:p>
    <w:p>
      <w:r>
        <w:t>4. For B item 2, type It depends. At the clarification prompt type Maybe. The five original choices appear. Select one and continue.</w:t>
      </w:r>
    </w:p>
    <w:p>
      <w:r>
        <w:t>5. Leave B item 3 empty twice to record unanswered. Type Fairly often for item 4. Both formats finish.</w:t>
      </w:r>
    </w:p>
    <w:p>
      <w:r>
        <w:t>6. Open Researcher tools, expand Developer mapping check, type Almost never and click Check mapping. It displays category 1 with status mapped. This tool does not create participant rows.</w:t>
      </w:r>
    </w:p>
    <w:p>
      <w:r>
        <w:t>7. Export all rows as CSV and export backup JSON. If inspecting demonstration agreement, select Synthetic software tests only. These values are not pilot results.</w:t>
      </w:r>
    </w:p>
    <w:p>
      <w:r>
        <w:t>8. Before actual data collection, begin a clean cohort and run 1–2 voluntary human team dry runs. For genuine classroom baseline use codes such as P01 and the Offline fallback baseline trial type. Assign and record AB/BA before starting.</w:t>
      </w:r>
    </w:p>
    <w:p>
      <w:r>
        <w:t>9. Open the CSV in Excel, copy data values without the header to Trial Rows A2:AB201, and select fallback plus the frozen version on Summary. Preserve blanks, all failures and notes. Do not modify the frozen app during counted trials.</w:t>
      </w:r>
    </w:p>
    <w:p>
      <w:pPr>
        <w:pStyle w:val="Heading1"/>
        <w:pageBreakBefore w:val="0"/>
      </w:pPr>
      <w:r>
        <w:t>What remains</w:t>
      </w:r>
    </w:p>
    <w:p>
      <w:r>
        <w:t>Obtain genuine voluntary responses, calculate the baseline, confirm actual hours, and help Valentina review/rehearse her presentation. Her PDF, updated tracker and actual trial log are due October 26 at 11:59 PM Eastern. Future work includes eEVA integration, full SUS collection, about 5–6 adult sessions and final analysis/reporting. None should be described as completed now.</w:t>
      </w:r>
    </w:p>
    <w:p>
      <w:pPr>
        <w:pStyle w:val="Heading1"/>
        <w:pageBreakBefore/>
      </w:pPr>
      <w:r>
        <w:t>Professor questions and simple answers</w:t>
      </w:r>
    </w:p>
    <w:p>
      <w:pPr>
        <w:pStyle w:val="Heading2"/>
      </w:pPr>
      <w:r>
        <w:t>What is implemented today</w:t>
      </w:r>
    </w:p>
    <w:p>
      <w:r>
        <w:t>A self-contained HTML, CSS and JavaScript PSS-4 app with both formats, offline mapping, one clarification, structured fallback, logging, timing, recovery and exports.</w:t>
      </w:r>
    </w:p>
    <w:p>
      <w:pPr>
        <w:pStyle w:val="Heading2"/>
      </w:pPr>
      <w:r>
        <w:t>Why did you use the offline fallback</w:t>
      </w:r>
    </w:p>
    <w:p>
      <w:r>
        <w:t>The supplied project instructions say eEVA was inaccessible and attribute approval of offline forms and mapping to Professor Lisetti. We did not verify eEVA integration.</w:t>
      </w:r>
    </w:p>
    <w:p>
      <w:pPr>
        <w:pStyle w:val="Heading2"/>
      </w:pPr>
      <w:r>
        <w:t>Is the mapper a trained AI model</w:t>
      </w:r>
    </w:p>
    <w:p>
      <w:r>
        <w:t>No. It uses documented deterministic frequency phrases and conservative ambiguity rules. We chose it as a transparent initial categorization baseline.</w:t>
      </w:r>
    </w:p>
    <w:p>
      <w:pPr>
        <w:pStyle w:val="Heading2"/>
      </w:pPr>
      <w:r>
        <w:t>What happens to an unclear answer</w:t>
      </w:r>
    </w:p>
    <w:p>
      <w:r>
        <w:t>One neutral clarification is requested. If still unclear, show the five original options and record automatic failure with structured fallback.</w:t>
      </w:r>
    </w:p>
    <w:p>
      <w:pPr>
        <w:pStyle w:val="Heading2"/>
      </w:pPr>
      <w:r>
        <w:t>Does fallback count as correct automatic mapping</w:t>
      </w:r>
    </w:p>
    <w:p>
      <w:r>
        <w:t>No. It is retained as a final participant choice but excluded from automatic agreement and counted in the fallback rate.</w:t>
      </w:r>
    </w:p>
    <w:p>
      <w:pPr>
        <w:pStyle w:val="Heading2"/>
      </w:pPr>
      <w:r>
        <w:t>How do you handle almost never correctly</w:t>
      </w:r>
    </w:p>
    <w:p>
      <w:r>
        <w:t>The longer phrase is matched and removed before never is tested, so the shorter word cannot overwrite the category.</w:t>
      </w:r>
    </w:p>
    <w:p>
      <w:pPr>
        <w:pStyle w:val="Heading2"/>
      </w:pPr>
      <w:r>
        <w:t>What is the baseline</w:t>
      </w:r>
    </w:p>
    <w:p>
      <w:r>
        <w:t>Agreement between the first automatic categorization approach and corresponding closed-ended answers. First-response mapping and clarified automatic mapping are reported separately.</w:t>
      </w:r>
    </w:p>
    <w:p>
      <w:pPr>
        <w:pStyle w:val="Heading2"/>
      </w:pPr>
      <w:r>
        <w:t>What has actually been tested</w:t>
      </w:r>
    </w:p>
    <w:p>
      <w:r>
        <w:t>The original 64 tests were rerun. The updated suite passes 80 unit checks and 36 offline Edge UI checks with synthetic inputs. Spreadsheet/native Excel checks are saved separately. These are not human dry runs.</w:t>
      </w:r>
    </w:p>
    <w:p>
      <w:pPr>
        <w:pStyle w:val="Heading1"/>
        <w:pageBreakBefore/>
      </w:pPr>
      <w:r>
        <w:t>More professor questions</w:t>
      </w:r>
    </w:p>
    <w:p>
      <w:pPr>
        <w:pStyle w:val="Heading2"/>
      </w:pPr>
      <w:r>
        <w:t>Have you collected actual participant results</w:t>
      </w:r>
    </w:p>
    <w:p>
      <w:r>
        <w:t>No genuine responses were available in the recovered materials. The real trial workbook is empty. Human team dry runs and classmate collection still need to happen.</w:t>
      </w:r>
    </w:p>
    <w:p>
      <w:pPr>
        <w:pStyle w:val="Heading2"/>
      </w:pPr>
      <w:r>
        <w:t>Why reverse items 2 and 3</w:t>
      </w:r>
    </w:p>
    <w:p>
      <w:r>
        <w:t>They describe positive experiences. Reverse them only for the total stress score. Agreement compares their raw response categories.</w:t>
      </w:r>
    </w:p>
    <w:p>
      <w:pPr>
        <w:pStyle w:val="Heading2"/>
      </w:pPr>
      <w:r>
        <w:t>Why use a within subject design and counterbalancing</w:t>
      </w:r>
    </w:p>
    <w:p>
      <w:r>
        <w:t>Each person serves as their own comparison. AB/BA balances which format comes first, though carryover can remain.</w:t>
      </w:r>
    </w:p>
    <w:p>
      <w:pPr>
        <w:pStyle w:val="Heading2"/>
      </w:pPr>
      <w:r>
        <w:t>Can this diagnose stress or prove equivalence</w:t>
      </w:r>
    </w:p>
    <w:p>
      <w:r>
        <w:t>No. This is a small format-agreement pilot. Closed-ended answers are a comparison reference, and neither agreement nor a PSS-4 total is a clinical diagnosis.</w:t>
      </w:r>
    </w:p>
    <w:p>
      <w:pPr>
        <w:pStyle w:val="Heading2"/>
      </w:pPr>
      <w:r>
        <w:t>How are failures and time handled</w:t>
      </w:r>
    </w:p>
    <w:p>
      <w:r>
        <w:t>Elapsed condition time includes the four items and any clarification/fallback. Incomplete conditions are flagged and excluded from completed-time summaries. Disagreements and missing items remain logged.</w:t>
      </w:r>
    </w:p>
    <w:p>
      <w:pPr>
        <w:pStyle w:val="Heading2"/>
      </w:pPr>
      <w:r>
        <w:t>What did each team member do</w:t>
      </w:r>
    </w:p>
    <w:p>
      <w:r>
        <w:t>The original plan gave Valentina closed-ended implementation and integration leadership, with Jai leading conversation and mapping. Current technical completion is coordinated by Jai; Valentina creates the presentation. Genuine actual hours remain unconfirmed.</w:t>
      </w:r>
    </w:p>
    <w:p>
      <w:pPr>
        <w:pStyle w:val="Heading2"/>
      </w:pPr>
      <w:r>
        <w:t>What social behavior is controlled offline</w:t>
      </w:r>
    </w:p>
    <w:p>
      <w:r>
        <w:t>The same introduction, farewell, typography, wording and question order appear in both formats. There is no avatar, expression, voice or gesture, so intended eEVA cue controls remain future work.</w:t>
      </w:r>
    </w:p>
    <w:p>
      <w:pPr>
        <w:pStyle w:val="Heading2"/>
      </w:pPr>
      <w:r>
        <w:t>What will you say if the pilot sample is very small</w:t>
      </w:r>
    </w:p>
    <w:p>
      <w:r>
        <w:t>Report participant/item counts, descriptive agreement, coverage and timing. Kappa can be calculated when defined but may be unstable. Avoid significance claims or broad conclusions.</w:t>
      </w:r>
    </w:p>
    <w:p>
      <w:pPr>
        <w:pStyle w:val="Heading2"/>
      </w:pPr>
      <w:r>
        <w:t>What should change after a bug fix during testing</w:t>
      </w:r>
    </w:p>
    <w:p>
      <w:r>
        <w:t>Document a new frozen version and restart the affected trial series. Keep earlier failure logs and do not combine incompatible versions silently.</w:t>
      </w:r>
    </w:p>
    <w:p>
      <w:pPr>
        <w:pStyle w:val="Heading2"/>
      </w:pPr>
      <w:r>
        <w:t>Where can I find evidence</w:t>
      </w:r>
    </w:p>
    <w:p>
      <w:r>
        <w:t>02_Tests holds unit, browser, spreadsheet and native Excel reports. 05_Valentina_Handoff/Screenshots holds genuine runtime captures and workbook renders. 03_Baseline/Version_Freeze.json records the application version and SHA-256 hashes.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October 21 2026  |  PSS4-offline-1.1.0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FIU  |  CAP 5627  |  Project 2.1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 5627 Project 2.1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