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Rail / Transit scenario view: Base. CASEY indicates $7.4B P50 exposure, $6.2B - $10.9B range, 90 months baseline, Medium-High risk and 69% confidence. Confidence is governed by possessions, signalling integration, systems migration and operator acceptance.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Rail Infrastructure on headline progress alone.</w:t>
        <w:br/>
        <w:br/>
        <w:t>The programme should be governed through possessions, signalling integration, migration sequencing and trial operations. Current confidence (69%)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Civil works and corridor progress look reportable.</w:t>
        <w:br/>
        <w:br/>
        <w:t>CASEY view:</w:t>
        <w:br/>
        <w:t>Operational migration, possessions and signalling assurance govern opening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possessions are truly executable rather than assumed?</w:t>
      </w:r>
    </w:p>
    <w:p>
      <w:pPr>
        <w:pStyle w:val="ListBullet"/>
      </w:pPr>
      <w:r>
        <w:t>2. What evidence proves signalling migration readiness?</w:t>
      </w:r>
    </w:p>
    <w:p>
      <w:pPr>
        <w:pStyle w:val="ListBullet"/>
      </w:pPr>
      <w:r>
        <w:t>3. Where is rolling-stock interface liability owned?</w:t>
      </w:r>
    </w:p>
    <w:p>
      <w:pPr>
        <w:pStyle w:val="ListBullet"/>
      </w:pPr>
      <w:r>
        <w:t>4. What trial-running gate will fail first?</w:t>
      </w:r>
    </w:p>
    <w:p>
      <w:pPr>
        <w:pStyle w:val="ListBullet"/>
      </w:pPr>
      <w:r>
        <w:t>5. Is float usable under live corridor access constraints?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possessions, signalling integration, migration sequencing and trial operations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signed possession strategy</w:t>
        <w:br/>
        <w:t>- signalling integration test plan</w:t>
        <w:br/>
        <w:t>- rolling-stock interface evidence</w:t>
        <w:br/>
        <w:t>- trial running readiness gate</w:t>
        <w:br/>
        <w:t>- operator acceptance criteria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"systems integration and possession access failed to mature before trial running and regulator acceptance."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possessions, signalling integration, migration sequencing and trial operations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signed possession strategy.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$7.4B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$6.2B - $10.9B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90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69%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Rail / Transit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p>
      <w:pPr>
        <w:pStyle w:val="ListBullet"/>
      </w:pPr>
      <w:r>
        <w:t>R-007 Commissioning delay — Commissioning readiness plan, early test packs, digital systems integration</w:t>
      </w:r>
    </w:p>
    <w:p>
      <w:pPr>
        <w:pStyle w:val="ListBullet"/>
      </w:pPr>
      <w:r>
        <w:t>R-003 Permits / approvals delay — Authority plan, consent tracker, early submissions, stakeholder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