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CASEY Strategic Board Intelligence Pack</w:t>
      </w:r>
    </w:p>
    <w:p>
      <w:r>
        <w:t>Space / Lunar / Orbital Infrastructure scenario view: Base. CASEY indicates $3.1B P50 exposure, $2.6B - $4.6B range, 57 months baseline, Medium-High risk and 68% confidence. Confidence is governed by qualification, thermal-power balance, launch logistics and autonomous recovery. Trade-off: Balanced cost, time and evidence posture.</w:t>
      </w:r>
    </w:p>
    <w:p>
      <w:pPr>
        <w:pStyle w:val="Heading1"/>
      </w:pPr>
      <w:r>
        <w:t>CASEY Position</w:t>
      </w:r>
    </w:p>
    <w:p>
      <w:r>
        <w:t>CASEY POSITION</w:t>
        <w:br/>
        <w:br/>
        <w:t>CASEY does not judge Major Infrastructure Programme on headline progress alone.</w:t>
        <w:br/>
        <w:br/>
        <w:t>The programme should be governed through mission assurance, payload integration, launch-window dependency, range availability and qualification maturity. Current confidence (68%) is a board-defensibility signal, not an optimism score. Risk posture is Medium-High; approval should be conditional until evidence proves the governing constraint is controlled.</w:t>
        <w:br/>
        <w:br/>
        <w:t>If management cannot evidence this constraint, the programme is not approval-ready; it is only reportable.</w:t>
      </w:r>
    </w:p>
    <w:p>
      <w:pPr>
        <w:pStyle w:val="Heading1"/>
      </w:pPr>
      <w:r>
        <w:t>Traditional Controls vs CASEY</w:t>
      </w:r>
    </w:p>
    <w:p>
      <w:r>
        <w:t>TRADITIONAL CONTROLS VS CASEY</w:t>
        <w:br/>
        <w:br/>
        <w:t>Traditional controls view:</w:t>
        <w:br/>
        <w:t>Vehicle or facility progress appears to support the target launch window.</w:t>
        <w:br/>
        <w:br/>
        <w:t>CASEY view:</w:t>
        <w:br/>
        <w:t>Mission assurance, payload integration and range readiness govern launch confidence.</w:t>
        <w:br/>
        <w:br/>
        <w:t>Why this matters:</w:t>
        <w:br/>
        <w:t>Traditional reporting can remain green while confidence is already deteriorating. CASEY reads the behaviour underneath the dashboard: evidence maturity, governing constraint exposure, and whether float/reserve are actually usable.</w:t>
      </w:r>
    </w:p>
    <w:p>
      <w:pPr>
        <w:pStyle w:val="Heading1"/>
      </w:pPr>
      <w:r>
        <w:t>Likely Board Attacks</w:t>
      </w:r>
    </w:p>
    <w:p>
      <w:pPr>
        <w:pStyle w:val="ListBullet"/>
      </w:pPr>
      <w:r>
        <w:t>1. Which qualification gate can stop launch?</w:t>
      </w:r>
    </w:p>
    <w:p>
      <w:pPr>
        <w:pStyle w:val="ListBullet"/>
      </w:pPr>
      <w:r>
        <w:t>2. Is range availability booked or assumed?</w:t>
      </w:r>
    </w:p>
    <w:p>
      <w:pPr>
        <w:pStyle w:val="ListBullet"/>
      </w:pPr>
      <w:r>
        <w:t>3. What payload integration risk is understated?</w:t>
      </w:r>
    </w:p>
    <w:p>
      <w:pPr>
        <w:pStyle w:val="ListBullet"/>
      </w:pPr>
      <w:r>
        <w:t>4. Can cadence survive one failed test event?</w:t>
      </w:r>
    </w:p>
    <w:p>
      <w:pPr>
        <w:pStyle w:val="ListBullet"/>
      </w:pPr>
      <w:r>
        <w:t>5. What evidence proves launch readiness beyond schedule intent?</w:t>
      </w:r>
    </w:p>
    <w:p>
      <w:pPr>
        <w:pStyle w:val="Heading1"/>
      </w:pPr>
      <w:r>
        <w:t>What The Board Is Really Deciding</w:t>
      </w:r>
    </w:p>
    <w:p>
      <w:r>
        <w:t>WHAT THE BOARD IS REALLY DECIDING</w:t>
        <w:br/>
        <w:br/>
        <w:t>The board is not simply approving cost and schedule.</w:t>
        <w:br/>
        <w:br/>
        <w:t>The board is accepting:</w:t>
        <w:br/>
        <w:t>- exposure to mission assurance, payload integration, launch-window dependency, range availability and qualification maturity</w:t>
        <w:br/>
        <w:t>- the current evidence maturity position</w:t>
        <w:br/>
        <w:t>- whether reserve is credible against P80/P90 behaviour</w:t>
        <w:br/>
        <w:t>- whether management can recover if the governing constraint slips</w:t>
        <w:br/>
        <w:br/>
        <w:t>Evidence required before unconditional approval:</w:t>
        <w:br/>
        <w:t>- mission assurance closure matrix</w:t>
        <w:br/>
        <w:t>- payload integration evidence</w:t>
        <w:br/>
        <w:t>- range availability plan</w:t>
        <w:br/>
        <w:t>- thermal/propulsion qualification gates</w:t>
        <w:br/>
        <w:t>- launch readiness review criteria</w:t>
        <w:br/>
        <w:br/>
        <w:t>CASEY POSITION</w:t>
        <w:br/>
        <w:t>Approval should be conditional. Confidence improvement requires evidence closure, not a more polished narrative.</w:t>
      </w:r>
    </w:p>
    <w:p>
      <w:pPr>
        <w:pStyle w:val="Heading1"/>
      </w:pPr>
      <w:r>
        <w:t>If This Programme Fails</w:t>
      </w:r>
    </w:p>
    <w:p>
      <w:r>
        <w:t>IF THIS PROGRAMME FAILS</w:t>
        <w:br/>
        <w:br/>
        <w:t>The most likely external explanation will be:</w:t>
        <w:br/>
        <w:t>"launch cadence assumptions exceeded payload, propulsion or mission-assurance maturity."</w:t>
        <w:br/>
        <w:br/>
        <w:t>The internal explanation will be sharper:</w:t>
        <w:br/>
        <w:t>Management treated reported progress as equivalent to board-defensible readiness.</w:t>
        <w:br/>
        <w:br/>
        <w:t>CASEY WARNING</w:t>
        <w:br/>
        <w:t>The failure mode is behavioural before it is numerical: optimism, weak evidence closure, and late recognition of the governing constraint.</w:t>
      </w:r>
    </w:p>
    <w:p>
      <w:pPr>
        <w:pStyle w:val="Heading1"/>
      </w:pPr>
      <w:r>
        <w:t>Intervention Intelligence</w:t>
      </w:r>
    </w:p>
    <w:p>
      <w:r>
        <w:t>INTERVENTION INTELLIGENCE</w:t>
        <w:br/>
        <w:br/>
        <w:t>The highest-value intervention is not another status pack.</w:t>
        <w:br/>
        <w:br/>
        <w:t>1. Prove mission assurance, payload integration, launch-window dependency, range availability and qualification maturity with auditable evidence.</w:t>
        <w:br/>
        <w:t>2. Convert the weakest assumption into an owned mitigation with trigger, date, owner and residual exposure.</w:t>
        <w:br/>
        <w:t>3. Re-run P80/P90 after evidence closure, not after narrative revision.</w:t>
        <w:br/>
        <w:br/>
        <w:t>Fastest confidence unlock:</w:t>
        <w:br/>
        <w:t>Close the first missing evidence item: mission assurance closure matrix.</w:t>
        <w:br/>
        <w:br/>
        <w:t>CASEY POSITION</w:t>
        <w:br/>
        <w:t>The programme needs targeted evidence closure where confidence is actually governed.</w:t>
      </w:r>
    </w:p>
    <w:p>
      <w:pPr>
        <w:pStyle w:val="Heading1"/>
      </w:pPr>
      <w:r>
        <w:t>Core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 P50</w:t>
            </w:r>
          </w:p>
        </w:tc>
        <w:tc>
          <w:tcPr>
            <w:tcW w:type="dxa" w:w="4320"/>
          </w:tcPr>
          <w:p>
            <w:r>
              <w:t>$3.1B</w:t>
            </w:r>
          </w:p>
        </w:tc>
      </w:tr>
      <w:tr>
        <w:tc>
          <w:tcPr>
            <w:tcW w:type="dxa" w:w="4320"/>
          </w:tcPr>
          <w:p>
            <w:r>
              <w:t>Cost Range</w:t>
            </w:r>
          </w:p>
        </w:tc>
        <w:tc>
          <w:tcPr>
            <w:tcW w:type="dxa" w:w="4320"/>
          </w:tcPr>
          <w:p>
            <w:r>
              <w:t>$2.6B - $4.6B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57 months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68%</w:t>
            </w:r>
          </w:p>
        </w:tc>
      </w:tr>
      <w:tr>
        <w:tc>
          <w:tcPr>
            <w:tcW w:type="dxa" w:w="4320"/>
          </w:tcPr>
          <w:p>
            <w:r>
              <w:t>Sector Ontology</w:t>
            </w:r>
          </w:p>
        </w:tc>
        <w:tc>
          <w:tcPr>
            <w:tcW w:type="dxa" w:w="4320"/>
          </w:tcPr>
          <w:p>
            <w:r>
              <w:t>Space / Lunar / Orbital Infrastructure</w:t>
            </w:r>
          </w:p>
        </w:tc>
      </w:tr>
    </w:tbl>
    <w:p>
      <w:pPr>
        <w:pStyle w:val="Heading1"/>
      </w:pPr>
      <w:r>
        <w:t>Top Risks</w:t>
      </w:r>
    </w:p>
    <w:p>
      <w:pPr>
        <w:pStyle w:val="ListBullet"/>
      </w:pPr>
      <w:r>
        <w:t>R-001 Scope growth — Freeze scope baseline, change board, value gates, client decision log</w:t>
      </w:r>
    </w:p>
    <w:p>
      <w:pPr>
        <w:pStyle w:val="ListBullet"/>
      </w:pPr>
      <w:r>
        <w:t>R-004 Design maturity gap — Design maturity gates, independent review, assumption register</w:t>
      </w:r>
    </w:p>
    <w:p>
      <w:pPr>
        <w:pStyle w:val="ListBullet"/>
      </w:pPr>
      <w:r>
        <w:t>R-002 Market escalation — Early procurement, index-linked allowances, market testing, FX strategy</w:t>
      </w:r>
    </w:p>
    <w:p>
      <w:pPr>
        <w:pStyle w:val="ListBullet"/>
      </w:pPr>
      <w:r>
        <w:t>R-006 Productivity underperformance — Package productivity controls, daily planning, earned value cadence</w:t>
      </w:r>
    </w:p>
    <w:p>
      <w:pPr>
        <w:pStyle w:val="ListBullet"/>
      </w:pPr>
      <w:r>
        <w:t>R-005 Supply chain delay — Alternate suppliers, early orders, expediting, framework options</w:t>
      </w:r>
    </w:p>
    <w:p>
      <w:pPr>
        <w:pStyle w:val="ListBullet"/>
      </w:pPr>
      <w:r>
        <w:t>R-008 Interface misalignment — Interface control documents, weekly interface board, accountable owners</w:t>
      </w:r>
    </w:p>
    <w:p>
      <w:pPr>
        <w:pStyle w:val="ListBullet"/>
      </w:pPr>
      <w:r>
        <w:t>R-003 Permits / approvals delay — Authority plan, consent tracker, early submissions, stakeholder map</w:t>
      </w:r>
    </w:p>
    <w:p>
      <w:pPr>
        <w:pStyle w:val="ListBullet"/>
      </w:pPr>
      <w:r>
        <w:t>R-007 Commissioning delay — Commissioning readiness plan, early test packs, digital systems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