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Space / Lunar / Orbital Infrastructure scenario view: Base. CASEY indicates $53.5B P50 exposure, $44.9B - $78.6B range, 159 months baseline, Medium-High risk and 49% confidence. Confidence is governed by qualification, thermal-power balance, launch logistics and autonomous recovery.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Orbital AI Compute Platform on headline progress alone.</w:t>
        <w:br/>
        <w:br/>
        <w:t>The programme should be governed through mission assurance, payload integration, launch-window dependency, range availability and qualification maturity. Current confidence (49%)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Vehicle or facility progress appears to support the target launch window.</w:t>
        <w:br/>
        <w:br/>
        <w:t>CASEY view:</w:t>
        <w:br/>
        <w:t>Mission assurance, payload integration and range readiness govern launch confidence.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Which qualification gate can stop launch?</w:t>
      </w:r>
    </w:p>
    <w:p>
      <w:pPr>
        <w:pStyle w:val="ListBullet"/>
      </w:pPr>
      <w:r>
        <w:t>2. Is range availability booked or assumed?</w:t>
      </w:r>
    </w:p>
    <w:p>
      <w:pPr>
        <w:pStyle w:val="ListBullet"/>
      </w:pPr>
      <w:r>
        <w:t>3. What payload integration risk is understated?</w:t>
      </w:r>
    </w:p>
    <w:p>
      <w:pPr>
        <w:pStyle w:val="ListBullet"/>
      </w:pPr>
      <w:r>
        <w:t>4. Can cadence survive one failed test event?</w:t>
      </w:r>
    </w:p>
    <w:p>
      <w:pPr>
        <w:pStyle w:val="ListBullet"/>
      </w:pPr>
      <w:r>
        <w:t>5. What evidence proves launch readiness beyond schedule intent?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mission assurance, payload integration, launch-window dependency, range availability and qualification maturity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mission assurance closure matrix</w:t>
        <w:br/>
        <w:t>- payload integration evidence</w:t>
        <w:br/>
        <w:t>- range availability plan</w:t>
        <w:br/>
        <w:t>- thermal/propulsion qualification gates</w:t>
        <w:br/>
        <w:t>- launch readiness review criteria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"launch cadence assumptions exceeded payload, propulsion or mission-assurance maturity."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mission assurance, payload integration, launch-window dependency, range availability and qualification maturity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mission assurance closure matrix.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$53.5B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$44.9B - $78.6B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159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49%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Space / Lunar / Orbital Infrastructure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R-S01 Launch manifest delay — Reserve alternate launch slot, freeze payload interface, maintain launch-readiness checklist</w:t>
      </w:r>
    </w:p>
    <w:p>
      <w:pPr>
        <w:pStyle w:val="ListBullet"/>
      </w:pPr>
      <w:r>
        <w:t>R-S03 Life-support reliability — Prototype testing, redundancy, reliability growth, independent assurance</w:t>
      </w:r>
    </w:p>
    <w:p>
      <w:pPr>
        <w:pStyle w:val="ListBullet"/>
      </w:pPr>
      <w:r>
        <w:t>R-S02 Mass growth — Mass control board, margin policy, design-to-mass reviews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