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Energy / Power Infrastructure scenario view: Base. CASEY indicates $8.5B P50 exposure, $7.1B - $12.5B range, 78 months baseline, Medium-High risk and 65% confidence. Confidence is governed by regulatory approvals, grid interfaces, long-lead equipment and commissioning sequence.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Life Sciences Manufacturing Campus on headline progress alone.</w:t>
        <w:br/>
        <w:br/>
        <w:t>The programme should be governed through CQV execution, GMP readiness, validation closure and regulatory inspection evidence. Current confidence (65%)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Facility construction and equipment installation are progressing.</w:t>
        <w:br/>
        <w:br/>
        <w:t>CASEY view:</w:t>
        <w:br/>
        <w:t>Validated GMP readiness, CQV closure and regulatory evidence govern usable production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validation package breaks first?</w:t>
      </w:r>
    </w:p>
    <w:p>
      <w:pPr>
        <w:pStyle w:val="ListBullet"/>
      </w:pPr>
      <w:r>
        <w:t>2. Is GMP turnover evidenced or assumed?</w:t>
      </w:r>
    </w:p>
    <w:p>
      <w:pPr>
        <w:pStyle w:val="ListBullet"/>
      </w:pPr>
      <w:r>
        <w:t>3. What inspection-readiness gate is not closed?</w:t>
      </w:r>
    </w:p>
    <w:p>
      <w:pPr>
        <w:pStyle w:val="ListBullet"/>
      </w:pPr>
      <w:r>
        <w:t>4. Where does commissioning overlap threaten deviation closure?</w:t>
      </w:r>
    </w:p>
    <w:p>
      <w:pPr>
        <w:pStyle w:val="ListBullet"/>
      </w:pPr>
      <w:r>
        <w:t>5. Can production readiness survive accelerated handover?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CQV execution, GMP readiness, validation closure and regulatory inspection evidence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CQV execution plan</w:t>
        <w:br/>
        <w:t>- validation master plan</w:t>
        <w:br/>
        <w:t>- GMP turnover matrix</w:t>
        <w:br/>
        <w:t>- media-fill/qualification evidence</w:t>
        <w:br/>
        <w:t>- inspection readiness tracker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"CQV and validation maturity lagged construction completion and regulatory readiness."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CQV execution, GMP readiness, validation closure and regulatory inspection evidence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CQV execution plan.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$8.5B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$7.1B - $12.5B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78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Energy / Power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p>
      <w:pPr>
        <w:pStyle w:val="ListBullet"/>
      </w:pPr>
      <w:r>
        <w:t>R-007 Commissioning delay — Commissioning readiness plan, early test packs, digital systems integration</w:t>
      </w:r>
    </w:p>
    <w:p>
      <w:pPr>
        <w:pStyle w:val="ListBullet"/>
      </w:pPr>
      <w:r>
        <w:t>R-003 Permits / approvals delay — Authority plan, consent tracker, early submissions, stakeholder 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