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Executive Board Intelligence Pack</w:t>
      </w:r>
    </w:p>
    <w:p>
      <w:r>
        <w:t>AI Data Centre Campus | Digital Infrastructure / Hyperscale Data Centre | Base scenario | Generated 2026-05-04 21:32 UTC</w:t>
      </w:r>
    </w:p>
    <w:p>
      <w:r>
        <w:t>AI Data Centre Campus has been classified as Digital Infrastructure / Hyperscale Data Centre in Saudi Arabia / GCC. CASEY estimates $10.7B P50 cost, $8.6B to $13.9B range, 64 month baseline, Medium risk and 64% confidence under the Base scenario.</w:t>
      </w:r>
    </w:p>
    <w:p>
      <w:pPr>
        <w:pStyle w:val="Heading1"/>
      </w:pPr>
      <w:r>
        <w:t>1. Board Decision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Metric</w:t>
            </w:r>
          </w:p>
        </w:tc>
        <w:tc>
          <w:tcPr>
            <w:tcW w:type="dxa" w:w="2628"/>
          </w:tcPr>
          <w:p>
            <w:r>
              <w:t>Value</w:t>
            </w:r>
          </w:p>
        </w:tc>
        <w:tc>
          <w:tcPr>
            <w:tcW w:type="dxa" w:w="2628"/>
          </w:tcPr>
          <w:p>
            <w:r>
              <w:t>Interpretation</w:t>
            </w:r>
          </w:p>
        </w:tc>
        <w:tc>
          <w:tcPr>
            <w:tcW w:type="dxa" w:w="2628"/>
          </w:tcPr>
          <w:p>
            <w:r>
              <w:t>Board Action</w:t>
            </w:r>
          </w:p>
        </w:tc>
      </w:tr>
      <w:tr>
        <w:tc>
          <w:tcPr>
            <w:tcW w:type="dxa" w:w="2628"/>
          </w:tcPr>
          <w:p>
            <w:r>
              <w:t>P50 Cost</w:t>
            </w:r>
          </w:p>
        </w:tc>
        <w:tc>
          <w:tcPr>
            <w:tcW w:type="dxa" w:w="2628"/>
          </w:tcPr>
          <w:p>
            <w:r>
              <w:t>$10.7B</w:t>
            </w:r>
          </w:p>
        </w:tc>
        <w:tc>
          <w:tcPr>
            <w:tcW w:type="dxa" w:w="2628"/>
          </w:tcPr>
          <w:p>
            <w:r>
              <w:t>Most likely first-pass cost based on selected class and scenario.</w:t>
            </w:r>
          </w:p>
        </w:tc>
        <w:tc>
          <w:tcPr>
            <w:tcW w:type="dxa" w:w="2628"/>
          </w:tcPr>
          <w:p>
            <w:r>
              <w:t>Use as initial investment control point.</w:t>
            </w:r>
          </w:p>
        </w:tc>
      </w:tr>
      <w:tr>
        <w:tc>
          <w:tcPr>
            <w:tcW w:type="dxa" w:w="2628"/>
          </w:tcPr>
          <w:p>
            <w:r>
              <w:t>Cost Range</w:t>
            </w:r>
          </w:p>
        </w:tc>
        <w:tc>
          <w:tcPr>
            <w:tcW w:type="dxa" w:w="2628"/>
          </w:tcPr>
          <w:p>
            <w:r>
              <w:t>$8.6B - $13.9B</w:t>
            </w:r>
          </w:p>
        </w:tc>
        <w:tc>
          <w:tcPr>
            <w:tcW w:type="dxa" w:w="2628"/>
          </w:tcPr>
          <w:p>
            <w:r>
              <w:t>Class/maturity and QCRA uncertainty range.</w:t>
            </w:r>
          </w:p>
        </w:tc>
        <w:tc>
          <w:tcPr>
            <w:tcW w:type="dxa" w:w="2628"/>
          </w:tcPr>
          <w:p>
            <w:r>
              <w:t>Do not approve without range acknowledgement.</w:t>
            </w:r>
          </w:p>
        </w:tc>
      </w:tr>
      <w:tr>
        <w:tc>
          <w:tcPr>
            <w:tcW w:type="dxa" w:w="2628"/>
          </w:tcPr>
          <w:p>
            <w:r>
              <w:t>QCRA P80</w:t>
            </w:r>
          </w:p>
        </w:tc>
        <w:tc>
          <w:tcPr>
            <w:tcW w:type="dxa" w:w="2628"/>
          </w:tcPr>
          <w:p>
            <w:r>
              <w:t>$16.3B</w:t>
            </w:r>
          </w:p>
        </w:tc>
        <w:tc>
          <w:tcPr>
            <w:tcW w:type="dxa" w:w="2628"/>
          </w:tcPr>
          <w:p>
            <w:r>
              <w:t>Risk-adjusted cost confidence level.</w:t>
            </w:r>
          </w:p>
        </w:tc>
        <w:tc>
          <w:tcPr>
            <w:tcW w:type="dxa" w:w="2628"/>
          </w:tcPr>
          <w:p>
            <w:r>
              <w:t>Set funding envelope and contingency rules.</w:t>
            </w:r>
          </w:p>
        </w:tc>
      </w:tr>
      <w:tr>
        <w:tc>
          <w:tcPr>
            <w:tcW w:type="dxa" w:w="2628"/>
          </w:tcPr>
          <w:p>
            <w:r>
              <w:t>Baseline / QSRA P80</w:t>
            </w:r>
          </w:p>
        </w:tc>
        <w:tc>
          <w:tcPr>
            <w:tcW w:type="dxa" w:w="2628"/>
          </w:tcPr>
          <w:p>
            <w:r>
              <w:t>64 months / 77.61 months</w:t>
            </w:r>
          </w:p>
        </w:tc>
        <w:tc>
          <w:tcPr>
            <w:tcW w:type="dxa" w:w="2628"/>
          </w:tcPr>
          <w:p>
            <w:r>
              <w:t>Schedule risk exposure and delivery confidence.</w:t>
            </w:r>
          </w:p>
        </w:tc>
        <w:tc>
          <w:tcPr>
            <w:tcW w:type="dxa" w:w="2628"/>
          </w:tcPr>
          <w:p>
            <w:r>
              <w:t>Require critical path validation.</w:t>
            </w:r>
          </w:p>
        </w:tc>
      </w:tr>
      <w:tr>
        <w:tc>
          <w:tcPr>
            <w:tcW w:type="dxa" w:w="2628"/>
          </w:tcPr>
          <w:p>
            <w:r>
              <w:t>Risk / Confidence</w:t>
            </w:r>
          </w:p>
        </w:tc>
        <w:tc>
          <w:tcPr>
            <w:tcW w:type="dxa" w:w="2628"/>
          </w:tcPr>
          <w:p>
            <w:r>
              <w:t>Medium / 64%</w:t>
            </w:r>
          </w:p>
        </w:tc>
        <w:tc>
          <w:tcPr>
            <w:tcW w:type="dxa" w:w="2628"/>
          </w:tcPr>
          <w:p>
            <w:r>
              <w:t>Early-stage confidence and data quality status.</w:t>
            </w:r>
          </w:p>
        </w:tc>
        <w:tc>
          <w:tcPr>
            <w:tcW w:type="dxa" w:w="2628"/>
          </w:tcPr>
          <w:p>
            <w:r>
              <w:t>Approve evidence-improvement plan.</w:t>
            </w:r>
          </w:p>
        </w:tc>
      </w:tr>
      <w:tr>
        <w:tc>
          <w:tcPr>
            <w:tcW w:type="dxa" w:w="2628"/>
          </w:tcPr>
          <w:p>
            <w:r>
              <w:t>Direct / Indirect / Reserve</w:t>
            </w:r>
          </w:p>
        </w:tc>
        <w:tc>
          <w:tcPr>
            <w:tcW w:type="dxa" w:w="2628"/>
          </w:tcPr>
          <w:p>
            <w:r>
              <w:t>$12.7B / $1.8B / $965M</w:t>
            </w:r>
          </w:p>
        </w:tc>
        <w:tc>
          <w:tcPr>
            <w:tcW w:type="dxa" w:w="2628"/>
          </w:tcPr>
          <w:p>
            <w:r>
              <w:t>Prevents reserves being hidden inside direct cost.</w:t>
            </w:r>
          </w:p>
        </w:tc>
        <w:tc>
          <w:tcPr>
            <w:tcW w:type="dxa" w:w="2628"/>
          </w:tcPr>
          <w:p>
            <w:r>
              <w:t>Challenge contractor and adviser basis.</w:t>
            </w:r>
          </w:p>
        </w:tc>
      </w:tr>
    </w:tbl>
    <w:p>
      <w:pPr>
        <w:pStyle w:val="Heading1"/>
      </w:pPr>
      <w:r>
        <w:t>2. Executive Recommendation</w:t>
      </w:r>
    </w:p>
    <w:p>
      <w:pPr>
        <w:pStyle w:val="ListBullet"/>
      </w:pPr>
      <w:r>
        <w:t>Base selected: balanced control case for first-pass board challenge and option testing.</w:t>
      </w:r>
    </w:p>
    <w:p>
      <w:pPr>
        <w:pStyle w:val="ListBullet"/>
      </w:pPr>
      <w:r>
        <w:t>Controls consequence: use this as the reference model before switching to Faster, Cheaper, Lower Risk or Premium.</w:t>
      </w:r>
    </w:p>
    <w:p>
      <w:pPr>
        <w:pStyle w:val="ListBullet"/>
      </w:pPr>
      <w:r>
        <w:t>Board decision: approve further definition work, not unconditional capital commitment.</w:t>
      </w:r>
    </w:p>
    <w:p>
      <w:pPr>
        <w:pStyle w:val="ListBullet"/>
      </w:pPr>
      <w:r>
        <w:t>Run a risk workshop to validate probability and O/M/P impacts.</w:t>
      </w:r>
    </w:p>
    <w:p>
      <w:pPr>
        <w:pStyle w:val="ListBullet"/>
      </w:pPr>
      <w:r>
        <w:t>Confirm top five CBS cost drivers with benchmark or supplier evidence.</w:t>
      </w:r>
    </w:p>
    <w:p>
      <w:pPr>
        <w:pStyle w:val="ListBullet"/>
      </w:pPr>
      <w:r>
        <w:t>Validate the Level 3/4 schedule logic and critical path assumptions.</w:t>
      </w:r>
    </w:p>
    <w:p>
      <w:pPr>
        <w:pStyle w:val="ListBullet"/>
      </w:pPr>
      <w:r>
        <w:t>Prepare board decision paper with Base/Faster/Cheaper/Lower-Risk cases.</w:t>
      </w:r>
    </w:p>
    <w:p>
      <w:pPr>
        <w:pStyle w:val="ListBullet"/>
      </w:pPr>
      <w:r>
        <w:t>Create confidence improvement plan targeting design maturity, consents and procurement evidence.</w:t>
      </w:r>
    </w:p>
    <w:p>
      <w:pPr>
        <w:pStyle w:val="Heading1"/>
      </w:pPr>
      <w:r>
        <w:t>3. Cost Estimate - Selected Class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CBS</w:t>
            </w:r>
          </w:p>
        </w:tc>
        <w:tc>
          <w:tcPr>
            <w:tcW w:type="dxa" w:w="1502"/>
          </w:tcPr>
          <w:p>
            <w:r>
              <w:t>Description</w:t>
            </w:r>
          </w:p>
        </w:tc>
        <w:tc>
          <w:tcPr>
            <w:tcW w:type="dxa" w:w="1502"/>
          </w:tcPr>
          <w:p>
            <w:r>
              <w:t>Type</w:t>
            </w:r>
          </w:p>
        </w:tc>
        <w:tc>
          <w:tcPr>
            <w:tcW w:type="dxa" w:w="1502"/>
          </w:tcPr>
          <w:p>
            <w:r>
              <w:t>P10</w:t>
            </w:r>
          </w:p>
        </w:tc>
        <w:tc>
          <w:tcPr>
            <w:tcW w:type="dxa" w:w="1502"/>
          </w:tcPr>
          <w:p>
            <w:r>
              <w:t>P50</w:t>
            </w:r>
          </w:p>
        </w:tc>
        <w:tc>
          <w:tcPr>
            <w:tcW w:type="dxa" w:w="1502"/>
          </w:tcPr>
          <w:p>
            <w:r>
              <w:t>P90</w:t>
            </w:r>
          </w:p>
        </w:tc>
        <w:tc>
          <w:tcPr>
            <w:tcW w:type="dxa" w:w="1502"/>
          </w:tcPr>
          <w:p>
            <w:r>
              <w:t>Basis</w:t>
            </w:r>
          </w:p>
        </w:tc>
      </w:tr>
      <w:tr>
        <w:tc>
          <w:tcPr>
            <w:tcW w:type="dxa" w:w="1502"/>
          </w:tcPr>
          <w:p>
            <w:r>
              <w:t>01.01</w:t>
            </w:r>
          </w:p>
        </w:tc>
        <w:tc>
          <w:tcPr>
            <w:tcW w:type="dxa" w:w="1502"/>
          </w:tcPr>
          <w:p>
            <w:r>
              <w:t>Site Preparation / Enabling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$515M</w:t>
            </w:r>
          </w:p>
        </w:tc>
        <w:tc>
          <w:tcPr>
            <w:tcW w:type="dxa" w:w="1502"/>
          </w:tcPr>
          <w:p>
            <w:r>
              <w:t>$643M</w:t>
            </w:r>
          </w:p>
        </w:tc>
        <w:tc>
          <w:tcPr>
            <w:tcW w:type="dxa" w:w="1502"/>
          </w:tcPr>
          <w:p>
            <w:r>
              <w:t>$836M</w:t>
            </w:r>
          </w:p>
        </w:tc>
        <w:tc>
          <w:tcPr>
            <w:tcW w:type="dxa" w:w="1502"/>
          </w:tcPr>
          <w:p>
            <w:r>
              <w:t>Site Preparation / Enabling priced as 6.0%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01.02</w:t>
            </w:r>
          </w:p>
        </w:tc>
        <w:tc>
          <w:tcPr>
            <w:tcW w:type="dxa" w:w="1502"/>
          </w:tcPr>
          <w:p>
            <w:r>
              <w:t>Substructure / Foundations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$686M</w:t>
            </w:r>
          </w:p>
        </w:tc>
        <w:tc>
          <w:tcPr>
            <w:tcW w:type="dxa" w:w="1502"/>
          </w:tcPr>
          <w:p>
            <w:r>
              <w:t>$858M</w:t>
            </w:r>
          </w:p>
        </w:tc>
        <w:tc>
          <w:tcPr>
            <w:tcW w:type="dxa" w:w="1502"/>
          </w:tcPr>
          <w:p>
            <w:r>
              <w:t>$1.1B</w:t>
            </w:r>
          </w:p>
        </w:tc>
        <w:tc>
          <w:tcPr>
            <w:tcW w:type="dxa" w:w="1502"/>
          </w:tcPr>
          <w:p>
            <w:r>
              <w:t>Substructure / Foundations priced as 8.0%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01.03</w:t>
            </w:r>
          </w:p>
        </w:tc>
        <w:tc>
          <w:tcPr>
            <w:tcW w:type="dxa" w:w="1502"/>
          </w:tcPr>
          <w:p>
            <w:r>
              <w:t>Superstructure / Civil Works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$1.2B</w:t>
            </w:r>
          </w:p>
        </w:tc>
        <w:tc>
          <w:tcPr>
            <w:tcW w:type="dxa" w:w="1502"/>
          </w:tcPr>
          <w:p>
            <w:r>
              <w:t>$1.5B</w:t>
            </w:r>
          </w:p>
        </w:tc>
        <w:tc>
          <w:tcPr>
            <w:tcW w:type="dxa" w:w="1502"/>
          </w:tcPr>
          <w:p>
            <w:r>
              <w:t>$2.0B</w:t>
            </w:r>
          </w:p>
        </w:tc>
        <w:tc>
          <w:tcPr>
            <w:tcW w:type="dxa" w:w="1502"/>
          </w:tcPr>
          <w:p>
            <w:r>
              <w:t>Superstructure / Civil Works priced as 14.0%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01.04</w:t>
            </w:r>
          </w:p>
        </w:tc>
        <w:tc>
          <w:tcPr>
            <w:tcW w:type="dxa" w:w="1502"/>
          </w:tcPr>
          <w:p>
            <w:r>
              <w:t>MEP / Systems / Utilities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$1.2B</w:t>
            </w:r>
          </w:p>
        </w:tc>
        <w:tc>
          <w:tcPr>
            <w:tcW w:type="dxa" w:w="1502"/>
          </w:tcPr>
          <w:p>
            <w:r>
              <w:t>$1.5B</w:t>
            </w:r>
          </w:p>
        </w:tc>
        <w:tc>
          <w:tcPr>
            <w:tcW w:type="dxa" w:w="1502"/>
          </w:tcPr>
          <w:p>
            <w:r>
              <w:t>$2.0B</w:t>
            </w:r>
          </w:p>
        </w:tc>
        <w:tc>
          <w:tcPr>
            <w:tcW w:type="dxa" w:w="1502"/>
          </w:tcPr>
          <w:p>
            <w:r>
              <w:t>MEP / Systems / Utilities priced as 14.0%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01.05</w:t>
            </w:r>
          </w:p>
        </w:tc>
        <w:tc>
          <w:tcPr>
            <w:tcW w:type="dxa" w:w="1502"/>
          </w:tcPr>
          <w:p>
            <w:r>
              <w:t>Specialist Equipment / Fit-Out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$1.0B</w:t>
            </w:r>
          </w:p>
        </w:tc>
        <w:tc>
          <w:tcPr>
            <w:tcW w:type="dxa" w:w="1502"/>
          </w:tcPr>
          <w:p>
            <w:r>
              <w:t>$1.3B</w:t>
            </w:r>
          </w:p>
        </w:tc>
        <w:tc>
          <w:tcPr>
            <w:tcW w:type="dxa" w:w="1502"/>
          </w:tcPr>
          <w:p>
            <w:r>
              <w:t>$1.7B</w:t>
            </w:r>
          </w:p>
        </w:tc>
        <w:tc>
          <w:tcPr>
            <w:tcW w:type="dxa" w:w="1502"/>
          </w:tcPr>
          <w:p>
            <w:r>
              <w:t>Specialist Equipment / Fit-Out priced as 12.0%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01.06</w:t>
            </w:r>
          </w:p>
        </w:tc>
        <w:tc>
          <w:tcPr>
            <w:tcW w:type="dxa" w:w="1502"/>
          </w:tcPr>
          <w:p>
            <w:r>
              <w:t>Data Halls / White Space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$1.1B</w:t>
            </w:r>
          </w:p>
        </w:tc>
        <w:tc>
          <w:tcPr>
            <w:tcW w:type="dxa" w:w="1502"/>
          </w:tcPr>
          <w:p>
            <w:r>
              <w:t>$1.4B</w:t>
            </w:r>
          </w:p>
        </w:tc>
        <w:tc>
          <w:tcPr>
            <w:tcW w:type="dxa" w:w="1502"/>
          </w:tcPr>
          <w:p>
            <w:r>
              <w:t>$1.8B</w:t>
            </w:r>
          </w:p>
        </w:tc>
        <w:tc>
          <w:tcPr>
            <w:tcW w:type="dxa" w:w="1502"/>
          </w:tcPr>
          <w:p>
            <w:r>
              <w:t>Data Halls / White Space priced as 13.0%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01.07</w:t>
            </w:r>
          </w:p>
        </w:tc>
        <w:tc>
          <w:tcPr>
            <w:tcW w:type="dxa" w:w="1502"/>
          </w:tcPr>
          <w:p>
            <w:r>
              <w:t>Power Train / Substations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$1.4B</w:t>
            </w:r>
          </w:p>
        </w:tc>
        <w:tc>
          <w:tcPr>
            <w:tcW w:type="dxa" w:w="1502"/>
          </w:tcPr>
          <w:p>
            <w:r>
              <w:t>$1.7B</w:t>
            </w:r>
          </w:p>
        </w:tc>
        <w:tc>
          <w:tcPr>
            <w:tcW w:type="dxa" w:w="1502"/>
          </w:tcPr>
          <w:p>
            <w:r>
              <w:t>$2.2B</w:t>
            </w:r>
          </w:p>
        </w:tc>
        <w:tc>
          <w:tcPr>
            <w:tcW w:type="dxa" w:w="1502"/>
          </w:tcPr>
          <w:p>
            <w:r>
              <w:t>Power Train / Substations priced as 16.0%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01.08</w:t>
            </w:r>
          </w:p>
        </w:tc>
        <w:tc>
          <w:tcPr>
            <w:tcW w:type="dxa" w:w="1502"/>
          </w:tcPr>
          <w:p>
            <w:r>
              <w:t>Cooling Systems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$1.0B</w:t>
            </w:r>
          </w:p>
        </w:tc>
        <w:tc>
          <w:tcPr>
            <w:tcW w:type="dxa" w:w="1502"/>
          </w:tcPr>
          <w:p>
            <w:r>
              <w:t>$1.3B</w:t>
            </w:r>
          </w:p>
        </w:tc>
        <w:tc>
          <w:tcPr>
            <w:tcW w:type="dxa" w:w="1502"/>
          </w:tcPr>
          <w:p>
            <w:r>
              <w:t>$1.7B</w:t>
            </w:r>
          </w:p>
        </w:tc>
        <w:tc>
          <w:tcPr>
            <w:tcW w:type="dxa" w:w="1502"/>
          </w:tcPr>
          <w:p>
            <w:r>
              <w:t>Cooling Systems priced as 12.0%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01.09</w:t>
            </w:r>
          </w:p>
        </w:tc>
        <w:tc>
          <w:tcPr>
            <w:tcW w:type="dxa" w:w="1502"/>
          </w:tcPr>
          <w:p>
            <w:r>
              <w:t>Direct Labour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$772M</w:t>
            </w:r>
          </w:p>
        </w:tc>
        <w:tc>
          <w:tcPr>
            <w:tcW w:type="dxa" w:w="1502"/>
          </w:tcPr>
          <w:p>
            <w:r>
              <w:t>$965M</w:t>
            </w:r>
          </w:p>
        </w:tc>
        <w:tc>
          <w:tcPr>
            <w:tcW w:type="dxa" w:w="1502"/>
          </w:tcPr>
          <w:p>
            <w:r>
              <w:t>$1.3B</w:t>
            </w:r>
          </w:p>
        </w:tc>
        <w:tc>
          <w:tcPr>
            <w:tcW w:type="dxa" w:w="1502"/>
          </w:tcPr>
          <w:p>
            <w:r>
              <w:t>Direct Labour priced as 9.0%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01.10</w:t>
            </w:r>
          </w:p>
        </w:tc>
        <w:tc>
          <w:tcPr>
            <w:tcW w:type="dxa" w:w="1502"/>
          </w:tcPr>
          <w:p>
            <w:r>
              <w:t>Direct Materials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$858M</w:t>
            </w:r>
          </w:p>
        </w:tc>
        <w:tc>
          <w:tcPr>
            <w:tcW w:type="dxa" w:w="1502"/>
          </w:tcPr>
          <w:p>
            <w:r>
              <w:t>$1.1B</w:t>
            </w:r>
          </w:p>
        </w:tc>
        <w:tc>
          <w:tcPr>
            <w:tcW w:type="dxa" w:w="1502"/>
          </w:tcPr>
          <w:p>
            <w:r>
              <w:t>$1.4B</w:t>
            </w:r>
          </w:p>
        </w:tc>
        <w:tc>
          <w:tcPr>
            <w:tcW w:type="dxa" w:w="1502"/>
          </w:tcPr>
          <w:p>
            <w:r>
              <w:t>Direct Materials priced as 10.0%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01.11</w:t>
            </w:r>
          </w:p>
        </w:tc>
        <w:tc>
          <w:tcPr>
            <w:tcW w:type="dxa" w:w="1502"/>
          </w:tcPr>
          <w:p>
            <w:r>
              <w:t>Plant / Equipment</w:t>
            </w:r>
          </w:p>
        </w:tc>
        <w:tc>
          <w:tcPr>
            <w:tcW w:type="dxa" w:w="1502"/>
          </w:tcPr>
          <w:p>
            <w:r>
              <w:t>Direct</w:t>
            </w:r>
          </w:p>
        </w:tc>
        <w:tc>
          <w:tcPr>
            <w:tcW w:type="dxa" w:w="1502"/>
          </w:tcPr>
          <w:p>
            <w:r>
              <w:t>$343M</w:t>
            </w:r>
          </w:p>
        </w:tc>
        <w:tc>
          <w:tcPr>
            <w:tcW w:type="dxa" w:w="1502"/>
          </w:tcPr>
          <w:p>
            <w:r>
              <w:t>$429M</w:t>
            </w:r>
          </w:p>
        </w:tc>
        <w:tc>
          <w:tcPr>
            <w:tcW w:type="dxa" w:w="1502"/>
          </w:tcPr>
          <w:p>
            <w:r>
              <w:t>$558M</w:t>
            </w:r>
          </w:p>
        </w:tc>
        <w:tc>
          <w:tcPr>
            <w:tcW w:type="dxa" w:w="1502"/>
          </w:tcPr>
          <w:p>
            <w:r>
              <w:t>Plant / Equipment priced as 4.0%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02.01</w:t>
            </w:r>
          </w:p>
        </w:tc>
        <w:tc>
          <w:tcPr>
            <w:tcW w:type="dxa" w:w="1502"/>
          </w:tcPr>
          <w:p>
            <w:r>
              <w:t>General Conditions / Prelims</w:t>
            </w:r>
          </w:p>
        </w:tc>
        <w:tc>
          <w:tcPr>
            <w:tcW w:type="dxa" w:w="1502"/>
          </w:tcPr>
          <w:p>
            <w:r>
              <w:t>Indirect</w:t>
            </w:r>
          </w:p>
        </w:tc>
        <w:tc>
          <w:tcPr>
            <w:tcW w:type="dxa" w:w="1502"/>
          </w:tcPr>
          <w:p>
            <w:r>
              <w:t>$600M</w:t>
            </w:r>
          </w:p>
        </w:tc>
        <w:tc>
          <w:tcPr>
            <w:tcW w:type="dxa" w:w="1502"/>
          </w:tcPr>
          <w:p>
            <w:r>
              <w:t>$751M</w:t>
            </w:r>
          </w:p>
        </w:tc>
        <w:tc>
          <w:tcPr>
            <w:tcW w:type="dxa" w:w="1502"/>
          </w:tcPr>
          <w:p>
            <w:r>
              <w:t>$976M</w:t>
            </w:r>
          </w:p>
        </w:tc>
        <w:tc>
          <w:tcPr>
            <w:tcW w:type="dxa" w:w="1502"/>
          </w:tcPr>
          <w:p>
            <w:r>
              <w:t>General Conditions / Prelims priced as 7.0%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02.02</w:t>
            </w:r>
          </w:p>
        </w:tc>
        <w:tc>
          <w:tcPr>
            <w:tcW w:type="dxa" w:w="1502"/>
          </w:tcPr>
          <w:p>
            <w:r>
              <w:t>Design / Professional Fees</w:t>
            </w:r>
          </w:p>
        </w:tc>
        <w:tc>
          <w:tcPr>
            <w:tcW w:type="dxa" w:w="1502"/>
          </w:tcPr>
          <w:p>
            <w:r>
              <w:t>Indirect</w:t>
            </w:r>
          </w:p>
        </w:tc>
        <w:tc>
          <w:tcPr>
            <w:tcW w:type="dxa" w:w="1502"/>
          </w:tcPr>
          <w:p>
            <w:r>
              <w:t>$600M</w:t>
            </w:r>
          </w:p>
        </w:tc>
        <w:tc>
          <w:tcPr>
            <w:tcW w:type="dxa" w:w="1502"/>
          </w:tcPr>
          <w:p>
            <w:r>
              <w:t>$751M</w:t>
            </w:r>
          </w:p>
        </w:tc>
        <w:tc>
          <w:tcPr>
            <w:tcW w:type="dxa" w:w="1502"/>
          </w:tcPr>
          <w:p>
            <w:r>
              <w:t>$976M</w:t>
            </w:r>
          </w:p>
        </w:tc>
        <w:tc>
          <w:tcPr>
            <w:tcW w:type="dxa" w:w="1502"/>
          </w:tcPr>
          <w:p>
            <w:r>
              <w:t>Design / Professional Fees priced as 7.0%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02.03</w:t>
            </w:r>
          </w:p>
        </w:tc>
        <w:tc>
          <w:tcPr>
            <w:tcW w:type="dxa" w:w="1502"/>
          </w:tcPr>
          <w:p>
            <w:r>
              <w:t>Permits / Insurance / Bonds</w:t>
            </w:r>
          </w:p>
        </w:tc>
        <w:tc>
          <w:tcPr>
            <w:tcW w:type="dxa" w:w="1502"/>
          </w:tcPr>
          <w:p>
            <w:r>
              <w:t>Indirect</w:t>
            </w:r>
          </w:p>
        </w:tc>
        <w:tc>
          <w:tcPr>
            <w:tcW w:type="dxa" w:w="1502"/>
          </w:tcPr>
          <w:p>
            <w:r>
              <w:t>$257M</w:t>
            </w:r>
          </w:p>
        </w:tc>
        <w:tc>
          <w:tcPr>
            <w:tcW w:type="dxa" w:w="1502"/>
          </w:tcPr>
          <w:p>
            <w:r>
              <w:t>$322M</w:t>
            </w:r>
          </w:p>
        </w:tc>
        <w:tc>
          <w:tcPr>
            <w:tcW w:type="dxa" w:w="1502"/>
          </w:tcPr>
          <w:p>
            <w:r>
              <w:t>$418M</w:t>
            </w:r>
          </w:p>
        </w:tc>
        <w:tc>
          <w:tcPr>
            <w:tcW w:type="dxa" w:w="1502"/>
          </w:tcPr>
          <w:p>
            <w:r>
              <w:t>Permits / Insurance / Bonds priced as 3.0%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03.01</w:t>
            </w:r>
          </w:p>
        </w:tc>
        <w:tc>
          <w:tcPr>
            <w:tcW w:type="dxa" w:w="1502"/>
          </w:tcPr>
          <w:p>
            <w:r>
              <w:t>QCRA Contingency</w:t>
            </w:r>
          </w:p>
        </w:tc>
        <w:tc>
          <w:tcPr>
            <w:tcW w:type="dxa" w:w="1502"/>
          </w:tcPr>
          <w:p>
            <w:r>
              <w:t>Reserve</w:t>
            </w:r>
          </w:p>
        </w:tc>
        <w:tc>
          <w:tcPr>
            <w:tcW w:type="dxa" w:w="1502"/>
          </w:tcPr>
          <w:p>
            <w:r>
              <w:t>$515M</w:t>
            </w:r>
          </w:p>
        </w:tc>
        <w:tc>
          <w:tcPr>
            <w:tcW w:type="dxa" w:w="1502"/>
          </w:tcPr>
          <w:p>
            <w:r>
              <w:t>$643M</w:t>
            </w:r>
          </w:p>
        </w:tc>
        <w:tc>
          <w:tcPr>
            <w:tcW w:type="dxa" w:w="1502"/>
          </w:tcPr>
          <w:p>
            <w:r>
              <w:t>$836M</w:t>
            </w:r>
          </w:p>
        </w:tc>
        <w:tc>
          <w:tcPr>
            <w:tcW w:type="dxa" w:w="1502"/>
          </w:tcPr>
          <w:p>
            <w:r>
              <w:t>QCRA Contingency priced as 6.0% of P50 from sector template, location factor 1.35, scale factor 1.90, complexity factor 1.10.</w:t>
            </w:r>
          </w:p>
        </w:tc>
      </w:tr>
      <w:tr>
        <w:tc>
          <w:tcPr>
            <w:tcW w:type="dxa" w:w="1502"/>
          </w:tcPr>
          <w:p>
            <w:r>
              <w:t>03.02</w:t>
            </w:r>
          </w:p>
        </w:tc>
        <w:tc>
          <w:tcPr>
            <w:tcW w:type="dxa" w:w="1502"/>
          </w:tcPr>
          <w:p>
            <w:r>
              <w:t>Management Reserve</w:t>
            </w:r>
          </w:p>
        </w:tc>
        <w:tc>
          <w:tcPr>
            <w:tcW w:type="dxa" w:w="1502"/>
          </w:tcPr>
          <w:p>
            <w:r>
              <w:t>Reserve</w:t>
            </w:r>
          </w:p>
        </w:tc>
        <w:tc>
          <w:tcPr>
            <w:tcW w:type="dxa" w:w="1502"/>
          </w:tcPr>
          <w:p>
            <w:r>
              <w:t>$257M</w:t>
            </w:r>
          </w:p>
        </w:tc>
        <w:tc>
          <w:tcPr>
            <w:tcW w:type="dxa" w:w="1502"/>
          </w:tcPr>
          <w:p>
            <w:r>
              <w:t>$322M</w:t>
            </w:r>
          </w:p>
        </w:tc>
        <w:tc>
          <w:tcPr>
            <w:tcW w:type="dxa" w:w="1502"/>
          </w:tcPr>
          <w:p>
            <w:r>
              <w:t>$418M</w:t>
            </w:r>
          </w:p>
        </w:tc>
        <w:tc>
          <w:tcPr>
            <w:tcW w:type="dxa" w:w="1502"/>
          </w:tcPr>
          <w:p>
            <w:r>
              <w:t>Management Reserve priced as 3.0% of P50 from sector template, location factor 1.35, scale factor 1.90, complexity factor 1.10.</w:t>
            </w:r>
          </w:p>
        </w:tc>
      </w:tr>
    </w:tbl>
    <w:p>
      <w:pPr>
        <w:pStyle w:val="Heading1"/>
      </w:pPr>
      <w:r>
        <w:t>4. QCRA and QSRA</w:t>
      </w:r>
    </w:p>
    <w:p>
      <w:r>
        <w:t>QCRA cost P10 / P50 / P80 / P90: $12.6B / $10.7B / $16.3B / $17.1B</w:t>
      </w:r>
    </w:p>
    <w:p>
      <w:r>
        <w:t>QSRA schedule P10 / P50 / P80 / P90: 67.84 / 73.36 / 77.61 / 79.79 months</w:t>
      </w:r>
    </w:p>
    <w:p>
      <w:pPr>
        <w:pStyle w:val="Heading2"/>
      </w:pPr>
      <w:r>
        <w:t>5. QCRA Tornado Drivers</w:t>
      </w:r>
    </w:p>
    <w:p>
      <w:pPr>
        <w:pStyle w:val="ListBullet"/>
      </w:pPr>
      <w:r>
        <w:t>Grid connection delay - 01.04 - mean exposure $783M</w:t>
      </w:r>
    </w:p>
    <w:p>
      <w:pPr>
        <w:pStyle w:val="ListBullet"/>
      </w:pPr>
      <w:r>
        <w:t>Market escalation - 01.07 - mean exposure $543M</w:t>
      </w:r>
    </w:p>
    <w:p>
      <w:pPr>
        <w:pStyle w:val="ListBullet"/>
      </w:pPr>
      <w:r>
        <w:t>Design maturity gap - 01.09 - mean exposure $410M</w:t>
      </w:r>
    </w:p>
    <w:p>
      <w:pPr>
        <w:pStyle w:val="ListBullet"/>
      </w:pPr>
      <w:r>
        <w:t>Scope growth - 01.06 - mean exposure $402M</w:t>
      </w:r>
    </w:p>
    <w:p>
      <w:pPr>
        <w:pStyle w:val="ListBullet"/>
      </w:pPr>
      <w:r>
        <w:t>Cooling system capacity - 01.05 - mean exposure $358M</w:t>
      </w:r>
    </w:p>
    <w:p>
      <w:pPr>
        <w:pStyle w:val="ListBullet"/>
      </w:pPr>
      <w:r>
        <w:t>Supply chain delay - 01.10 - mean exposure $341M</w:t>
      </w:r>
    </w:p>
    <w:p>
      <w:pPr>
        <w:pStyle w:val="ListBullet"/>
      </w:pPr>
      <w:r>
        <w:t>Productivity underperformance - 01.11 - mean exposure $337M</w:t>
      </w:r>
    </w:p>
    <w:p>
      <w:pPr>
        <w:pStyle w:val="ListBullet"/>
      </w:pPr>
      <w:r>
        <w:t>Interface misalignment - 02.02 - mean exposure $282M</w:t>
      </w:r>
    </w:p>
    <w:p>
      <w:pPr>
        <w:pStyle w:val="Heading2"/>
      </w:pPr>
      <w:r>
        <w:t>6. QSRA Tornado Drivers</w:t>
      </w:r>
    </w:p>
    <w:p>
      <w:pPr>
        <w:pStyle w:val="ListBullet"/>
      </w:pPr>
      <w:r>
        <w:t>Grid connection delay - A1400 - mean exposure 61.9 days</w:t>
      </w:r>
    </w:p>
    <w:p>
      <w:pPr>
        <w:pStyle w:val="ListBullet"/>
      </w:pPr>
      <w:r>
        <w:t>Permits / approvals delay - A1800 - mean exposure 31.3 days</w:t>
      </w:r>
    </w:p>
    <w:p>
      <w:pPr>
        <w:pStyle w:val="ListBullet"/>
      </w:pPr>
      <w:r>
        <w:t>Scope growth - A1600 - mean exposure 25.3 days</w:t>
      </w:r>
    </w:p>
    <w:p>
      <w:pPr>
        <w:pStyle w:val="ListBullet"/>
      </w:pPr>
      <w:r>
        <w:t>Design maturity gap - A1900 - mean exposure 23.1 days</w:t>
      </w:r>
    </w:p>
    <w:p>
      <w:pPr>
        <w:pStyle w:val="ListBullet"/>
      </w:pPr>
      <w:r>
        <w:t>Productivity underperformance - A2100 - mean exposure 22.9 days</w:t>
      </w:r>
    </w:p>
    <w:p>
      <w:pPr>
        <w:pStyle w:val="ListBullet"/>
      </w:pPr>
      <w:r>
        <w:t>Supply chain delay - A2000 - mean exposure 22.7 days</w:t>
      </w:r>
    </w:p>
    <w:p>
      <w:pPr>
        <w:pStyle w:val="ListBullet"/>
      </w:pPr>
      <w:r>
        <w:t>Cooling system capacity - A1500 - mean exposure 22.5 days</w:t>
      </w:r>
    </w:p>
    <w:p>
      <w:pPr>
        <w:pStyle w:val="ListBullet"/>
      </w:pPr>
      <w:r>
        <w:t>Interface misalignment - P2000 - mean exposure 16.6 days</w:t>
      </w:r>
    </w:p>
    <w:p>
      <w:pPr>
        <w:pStyle w:val="Heading1"/>
      </w:pPr>
      <w:r>
        <w:t>7. Risk Register - Board Top Risks</w:t>
      </w:r>
    </w:p>
    <w:p>
      <w:pPr>
        <w:pStyle w:val="ListBullet"/>
      </w:pPr>
      <w:r>
        <w:t>R-D01 Grid connection delay</w:t>
      </w:r>
    </w:p>
    <w:p>
      <w:r>
        <w:t>Cause: Utility agreement, substation scope or energisation pathway not secured. Event: Power connection or energisation milestone slips. Impact: Critical path delay, temporary power cost, phased opening risk and revenue deferral. Mitigation: Secure grid agreement, temporary power strategy, early equipment orders. Owner: Utilities Lead.</w:t>
      </w:r>
    </w:p>
    <w:p>
      <w:pPr>
        <w:pStyle w:val="ListBullet"/>
      </w:pPr>
      <w:r>
        <w:t>R-002 Market escalation</w:t>
      </w:r>
    </w:p>
    <w:p>
      <w:r>
        <w:t>Cause: Supplier market tightness, inflation, FX and long procurement window. Event: Rates exceed assumed escalation profile. Impact: P50 cost becomes understated; commercial approvals or procurement strategy may need reset. Mitigation: Early procurement, index-linked allowances, market testing, FX strategy. Owner: Commercial Lead.</w:t>
      </w:r>
    </w:p>
    <w:p>
      <w:pPr>
        <w:pStyle w:val="ListBullet"/>
      </w:pPr>
      <w:r>
        <w:t>R-004 Design maturity gap</w:t>
      </w:r>
    </w:p>
    <w:p>
      <w:r>
        <w:t>Cause: Estimate is based on immature design, incomplete surveys or unresolved interfaces. Event: Design basis changes during detailed design. Impact: Cost growth, quantity movement, rework and schedule resequencing. Mitigation: Design maturity gates, independent review, assumption register. Owner: Design Manager.</w:t>
      </w:r>
    </w:p>
    <w:p>
      <w:pPr>
        <w:pStyle w:val="ListBullet"/>
      </w:pPr>
      <w:r>
        <w:t>R-001 Scope growth</w:t>
      </w:r>
    </w:p>
    <w:p>
      <w:r>
        <w:t>Cause: Ambiguous requirements, immature scope freeze and late stakeholder changes. Event: Approved scope expands after estimate freeze. Impact: Additional quantities, redesign, rework, procurement churn and board contingency drawdown. Mitigation: Freeze scope baseline, change board, value gates, client decision log. Owner: Project Director.</w:t>
      </w:r>
    </w:p>
    <w:p>
      <w:pPr>
        <w:pStyle w:val="ListBullet"/>
      </w:pPr>
      <w:r>
        <w:t>R-D02 Cooling system capacity</w:t>
      </w:r>
    </w:p>
    <w:p>
      <w:r>
        <w:t>Cause: Thermal basis, water availability or cooling vendor performance uncertain. Event: Cooling design fails capacity, redundancy or commissioning test. Impact: Re-design, commissioning delay, lower IT load and resilience concern. Mitigation: Thermal modelling, supplier validation, early performance test. Owner: MEP Lead.</w:t>
      </w:r>
    </w:p>
    <w:p>
      <w:pPr>
        <w:pStyle w:val="ListBullet"/>
      </w:pPr>
      <w:r>
        <w:t>R-006 Productivity underperformance</w:t>
      </w:r>
    </w:p>
    <w:p>
      <w:r>
        <w:t>Cause: Access constraints, poor sequencing, labour scarcity or learning curve. Event: Actual production rates underperform plan. Impact: Extended duration, increased preliminaries and loss of float. Mitigation: Package productivity controls, daily planning, earned value cadence. Owner: Delivery Lead.</w:t>
      </w:r>
    </w:p>
    <w:p>
      <w:pPr>
        <w:pStyle w:val="ListBullet"/>
      </w:pPr>
      <w:r>
        <w:t>R-005 Supply chain delay</w:t>
      </w:r>
    </w:p>
    <w:p>
      <w:r>
        <w:t>Cause: Long-lead equipment, constrained suppliers or late procurement release. Event: Supplier promise dates move right. Impact: Delayed installation, critical path movement and acceleration cost. Mitigation: Alternate suppliers, early orders, expediting, framework options. Owner: Procurement Lead.</w:t>
      </w:r>
    </w:p>
    <w:p>
      <w:pPr>
        <w:pStyle w:val="ListBullet"/>
      </w:pPr>
      <w:r>
        <w:t>R-008 Interface misalignment</w:t>
      </w:r>
    </w:p>
    <w:p>
      <w:r>
        <w:t>Cause: Multiple contractors, unclear interface ownership or late design coordination. Event: Package interfaces do not align during installation/integration. Impact: Rework, claims, delay and fragmented accountability. Mitigation: Interface control documents, weekly interface board, accountable owners. Owner: Integration Manager.</w:t>
      </w:r>
    </w:p>
    <w:p>
      <w:pPr>
        <w:pStyle w:val="ListBullet"/>
      </w:pPr>
      <w:r>
        <w:t>R-007 Commissioning delay</w:t>
      </w:r>
    </w:p>
    <w:p>
      <w:r>
        <w:t>Cause: Incomplete readiness, software integration issues or defects during testing. Event: Systems fail tests or require repeated commissioning cycles. Impact: Delayed handover, operational readiness slippage and liquidated damages exposure. Mitigation: Commissioning readiness plan, early test packs, digital systems integration. Owner: Commissioning Lead.</w:t>
      </w:r>
    </w:p>
    <w:p>
      <w:pPr>
        <w:pStyle w:val="ListBullet"/>
      </w:pPr>
      <w:r>
        <w:t>R-003 Permits / approvals delay</w:t>
      </w:r>
    </w:p>
    <w:p>
      <w:r>
        <w:t>Cause: Authority process, stakeholder objections or incomplete submissions. Event: Consent milestone slips beyond baseline. Impact: Critical path delay, extended preliminaries and potential redesign conditions. Mitigation: Authority plan, consent tracker, early submissions, stakeholder map. Owner: Consents Lead.</w:t>
      </w:r>
    </w:p>
    <w:p>
      <w:pPr>
        <w:pStyle w:val="Heading1"/>
      </w:pPr>
      <w:r>
        <w:t>8. Challenge Questions</w:t>
      </w:r>
    </w:p>
    <w:p>
      <w:pPr>
        <w:pStyle w:val="ListNumber"/>
      </w:pPr>
      <w:r>
        <w:t>What evidence supports the P50 cost and P80 confidence?</w:t>
      </w:r>
    </w:p>
    <w:p>
      <w:pPr>
        <w:pStyle w:val="ListNumber"/>
      </w:pPr>
      <w:r>
        <w:t>Which five risks create most contingency?</w:t>
      </w:r>
    </w:p>
    <w:p>
      <w:pPr>
        <w:pStyle w:val="ListNumber"/>
      </w:pPr>
      <w:r>
        <w:t>Which activities drive the QSRA finish-date risk?</w:t>
      </w:r>
    </w:p>
    <w:p>
      <w:pPr>
        <w:pStyle w:val="ListNumber"/>
      </w:pPr>
      <w:r>
        <w:t>What data would increase confidence before approval?</w:t>
      </w:r>
    </w:p>
    <w:p>
      <w:pPr>
        <w:pStyle w:val="ListNumber"/>
      </w:pPr>
      <w:r>
        <w:t>What is the fastest credible lower-risk path?</w:t>
      </w:r>
    </w:p>
    <w:p>
      <w:pPr>
        <w:pStyle w:val="Heading1"/>
      </w:pPr>
      <w:r>
        <w:t>9. Assumptions and Limitations</w:t>
      </w:r>
    </w:p>
    <w:p>
      <w:r>
        <w:t>This is a first-pass project controls intelligence pack. It is designed to challenge, accelerate and structure decision-making; it is not a final contractor tender or signed cost plan. Each output includes assumptions and should be validated against project-specific evidence before commitment.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1C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61C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61C2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