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51423"/>
        </w:rPr>
        <w:t>CASEY TITAN X Board Report</w:t>
      </w:r>
    </w:p>
    <w:p>
      <w:r>
        <w:t>AI Data Centre Campus has been classified as Digital Infrastructure / Hyperscale Data Centre in Saudi Arabia / GCC. CASEY estimates $10.7B P50 cost, $8.6B to $13.9B range, 64 month baseline, Medium risk and 64% confidence under the Base scenario.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Cost P50</w:t>
            </w:r>
          </w:p>
        </w:tc>
        <w:tc>
          <w:tcPr>
            <w:tcW w:type="dxa" w:w="4320"/>
          </w:tcPr>
          <w:p>
            <w:r>
              <w:t>$10.7B</w:t>
            </w:r>
          </w:p>
        </w:tc>
      </w:tr>
      <w:tr>
        <w:tc>
          <w:tcPr>
            <w:tcW w:type="dxa" w:w="4320"/>
          </w:tcPr>
          <w:p>
            <w:r>
              <w:t>Cost Range</w:t>
            </w:r>
          </w:p>
        </w:tc>
        <w:tc>
          <w:tcPr>
            <w:tcW w:type="dxa" w:w="4320"/>
          </w:tcPr>
          <w:p>
            <w:r>
              <w:t>$8.6B - $13.9B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64 months</w:t>
            </w:r>
          </w:p>
        </w:tc>
      </w:tr>
      <w:tr>
        <w:tc>
          <w:tcPr>
            <w:tcW w:type="dxa" w:w="4320"/>
          </w:tcPr>
          <w:p>
            <w:r>
              <w:t>QCRA P80</w:t>
            </w:r>
          </w:p>
        </w:tc>
        <w:tc>
          <w:tcPr>
            <w:tcW w:type="dxa" w:w="4320"/>
          </w:tcPr>
          <w:p>
            <w:r>
              <w:t>$16.0B</w:t>
            </w:r>
          </w:p>
        </w:tc>
      </w:tr>
      <w:tr>
        <w:tc>
          <w:tcPr>
            <w:tcW w:type="dxa" w:w="4320"/>
          </w:tcPr>
          <w:p>
            <w:r>
              <w:t>QSRA P80</w:t>
            </w:r>
          </w:p>
        </w:tc>
        <w:tc>
          <w:tcPr>
            <w:tcW w:type="dxa" w:w="4320"/>
          </w:tcPr>
          <w:p>
            <w:r>
              <w:t>76.91 months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64%</w:t>
            </w:r>
          </w:p>
        </w:tc>
      </w:tr>
    </w:tbl>
    <w:p>
      <w:pPr>
        <w:pStyle w:val="Heading1"/>
      </w:pPr>
      <w:r>
        <w:t>Why Confidence</w:t>
      </w:r>
    </w:p>
    <w:p>
      <w:pPr>
        <w:pStyle w:val="ListBullet"/>
      </w:pPr>
      <w:r>
        <w:t>Class 3 Budget Authorization: 10-40% definition maturity drives the starting confidence level.</w:t>
      </w:r>
    </w:p>
    <w:p>
      <w:pPr>
        <w:pStyle w:val="ListBullet"/>
      </w:pPr>
      <w:r>
        <w:t>Schedule Level 4: more detailed schedule logic improves QSRA traceability.</w:t>
      </w:r>
    </w:p>
    <w:p>
      <w:pPr>
        <w:pStyle w:val="ListBullet"/>
      </w:pPr>
      <w:r>
        <w:t>Base: Balanced reference case.</w:t>
      </w:r>
    </w:p>
    <w:p>
      <w:pPr>
        <w:pStyle w:val="ListBullet"/>
      </w:pPr>
      <w:r>
        <w:t>Location/space factor: Saudi Arabia / GCC applies a 1.35 delivery premium.</w:t>
      </w:r>
    </w:p>
    <w:p>
      <w:pPr>
        <w:pStyle w:val="ListBullet"/>
      </w:pPr>
      <w:r>
        <w:t>accelerated delivery compression</w:t>
      </w:r>
    </w:p>
    <w:p>
      <w:pPr>
        <w:pStyle w:val="Heading1"/>
      </w:pPr>
      <w:r>
        <w:t>Top Red Flags</w:t>
      </w:r>
    </w:p>
    <w:p>
      <w:pPr>
        <w:pStyle w:val="ListBullet"/>
      </w:pPr>
      <w:r>
        <w:t>Confidence below board-comfort threshold: improve scope definition, benchmark evidence and supplier quotes.</w:t>
      </w:r>
    </w:p>
    <w:p>
      <w:pPr>
        <w:pStyle w:val="ListBullet"/>
      </w:pPr>
      <w:r>
        <w:t>Data centre: grid connection and cooling basis must be validated early.</w:t>
      </w:r>
    </w:p>
    <w:p>
      <w:pPr>
        <w:pStyle w:val="Heading1"/>
      </w:pPr>
      <w:r>
        <w:t>Board Challenge Questions</w:t>
      </w:r>
    </w:p>
    <w:p>
      <w:pPr>
        <w:pStyle w:val="ListBullet"/>
      </w:pPr>
      <w:r>
        <w:t>What evidence supports the P50 cost and P80 confidence?</w:t>
      </w:r>
    </w:p>
    <w:p>
      <w:pPr>
        <w:pStyle w:val="ListBullet"/>
      </w:pPr>
      <w:r>
        <w:t>Which five risks create most contingency?</w:t>
      </w:r>
    </w:p>
    <w:p>
      <w:pPr>
        <w:pStyle w:val="ListBullet"/>
      </w:pPr>
      <w:r>
        <w:t>Which activities drive the QSRA finish-date risk?</w:t>
      </w:r>
    </w:p>
    <w:p>
      <w:pPr>
        <w:pStyle w:val="ListBullet"/>
      </w:pPr>
      <w:r>
        <w:t>What data would increase confidence before approval?</w:t>
      </w:r>
    </w:p>
    <w:p>
      <w:pPr>
        <w:pStyle w:val="ListBullet"/>
      </w:pPr>
      <w:r>
        <w:t>What is the fastest credible lower-risk path?</w:t>
      </w:r>
    </w:p>
    <w:p>
      <w:pPr>
        <w:pStyle w:val="Heading1"/>
      </w:pPr>
      <w:r>
        <w:t>Next Best Actions</w:t>
      </w:r>
    </w:p>
    <w:p>
      <w:pPr>
        <w:pStyle w:val="ListBullet"/>
      </w:pPr>
      <w:r>
        <w:t>Run a risk workshop to validate probability and O/M/P impacts.</w:t>
      </w:r>
    </w:p>
    <w:p>
      <w:pPr>
        <w:pStyle w:val="ListBullet"/>
      </w:pPr>
      <w:r>
        <w:t>Confirm top five CBS cost drivers with benchmark or supplier evidence.</w:t>
      </w:r>
    </w:p>
    <w:p>
      <w:pPr>
        <w:pStyle w:val="ListBullet"/>
      </w:pPr>
      <w:r>
        <w:t>Validate the Level 3/4 schedule logic and critical path assumptions.</w:t>
      </w:r>
    </w:p>
    <w:p>
      <w:pPr>
        <w:pStyle w:val="ListBullet"/>
      </w:pPr>
      <w:r>
        <w:t>Prepare board decision paper with Base/Faster/Cheaper/Lower-Risk cases.</w:t>
      </w:r>
    </w:p>
    <w:p>
      <w:pPr>
        <w:pStyle w:val="ListBullet"/>
      </w:pPr>
      <w:r>
        <w:t>Create confidence improvement plan targeting design maturity, consents and procurement evidence.</w:t>
      </w:r>
    </w:p>
    <w:p>
      <w:pPr>
        <w:pStyle w:val="Heading1"/>
      </w:pPr>
      <w:r>
        <w:t>Top Risk Drivers</w:t>
      </w:r>
    </w:p>
    <w:p>
      <w:pPr>
        <w:pStyle w:val="ListBullet"/>
      </w:pPr>
      <w:r>
        <w:t>R-D01 Grid connection delay — A1400 / 01.04: Schedule impact mapped to A1400 Planning, regulatory and stakeholder approvals with O/M/P delay 20/80/220 days and critical path sensitivity.</w:t>
      </w:r>
    </w:p>
    <w:p>
      <w:pPr>
        <w:pStyle w:val="ListBullet"/>
      </w:pPr>
      <w:r>
        <w:t>R-002 Market escalation — A1700 / 01.07: Schedule impact mapped to A1700 Long-lead procurement with O/M/P delay 0/0/0 days and critical path sensitivity.</w:t>
      </w:r>
    </w:p>
    <w:p>
      <w:pPr>
        <w:pStyle w:val="ListBullet"/>
      </w:pPr>
      <w:r>
        <w:t>R-004 Design maturity gap — A1900 / 01.09: Schedule impact mapped to A1900 Main construction / fabrication / assembly with O/M/P delay 15/45/120 days and critical path sensitivity.</w:t>
      </w:r>
    </w:p>
    <w:p>
      <w:pPr>
        <w:pStyle w:val="ListBullet"/>
      </w:pPr>
      <w:r>
        <w:t>R-001 Scope growth — A1600 / 01.06: Schedule impact mapped to A1600 Detailed design / IFC development with O/M/P delay 15/45/120 days and critical path sensitivity.</w:t>
      </w:r>
    </w:p>
    <w:p>
      <w:pPr>
        <w:pStyle w:val="ListBullet"/>
      </w:pPr>
      <w:r>
        <w:t>R-006 Productivity underperformance — A2100 / 01.11: Schedule impact mapped to A2100 Commissioning, operations readiness and closeout with O/M/P delay 15/50/130 days and critical path sensitivity.</w:t>
      </w:r>
    </w:p>
    <w:p>
      <w:pPr>
        <w:pStyle w:val="ListBullet"/>
      </w:pPr>
      <w:r>
        <w:t>R-005 Supply chain delay — A2000 / 01.10: Schedule impact mapped to A2000 Systems integration and testing with O/M/P delay 10/40/120 days and critical path sensitivity.</w:t>
      </w:r>
    </w:p>
    <w:p>
      <w:pPr>
        <w:pStyle w:val="ListBullet"/>
      </w:pPr>
      <w:r>
        <w:t>R-D02 Cooling system capacity — A1500 / 01.05: Schedule impact mapped to A1500 Procurement strategy and tender packaging with O/M/P delay 10/40/120 days and critical path sensitivity.</w:t>
      </w:r>
    </w:p>
    <w:p>
      <w:pPr>
        <w:pStyle w:val="ListBullet"/>
      </w:pPr>
      <w:r>
        <w:t>R-008 Interface misalignment — P2000 / 02.02: Schedule impact mapped to P2000 Data halls with O/M/P delay 10/35/100 days and critical path sensitivity.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