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Executive Board Intelligence Pack</w:t>
      </w:r>
    </w:p>
    <w:p>
      <w:r>
        <w:t>Space Base | Surface Habitat/Base | Lower Risk scenario | Generated 2026-05-04 21:33 UTC</w:t>
      </w:r>
    </w:p>
    <w:p>
      <w:r>
        <w:t>Space Base has been classified as Surface Habitat/Base in Moon / Lunar Surface. CASEY estimates $198.0B P50 cost, $158.4B to $257.4B range, 246 month baseline, High risk and 65% confidence under the Lower Risk scenario.</w:t>
      </w:r>
    </w:p>
    <w:p>
      <w:pPr>
        <w:pStyle w:val="Heading1"/>
      </w:pPr>
      <w:r>
        <w:t>1. Board Decision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Metric</w:t>
            </w:r>
          </w:p>
        </w:tc>
        <w:tc>
          <w:tcPr>
            <w:tcW w:type="dxa" w:w="2628"/>
          </w:tcPr>
          <w:p>
            <w:r>
              <w:t>Value</w:t>
            </w:r>
          </w:p>
        </w:tc>
        <w:tc>
          <w:tcPr>
            <w:tcW w:type="dxa" w:w="2628"/>
          </w:tcPr>
          <w:p>
            <w:r>
              <w:t>Interpretation</w:t>
            </w:r>
          </w:p>
        </w:tc>
        <w:tc>
          <w:tcPr>
            <w:tcW w:type="dxa" w:w="2628"/>
          </w:tcPr>
          <w:p>
            <w:r>
              <w:t>Board Action</w:t>
            </w:r>
          </w:p>
        </w:tc>
      </w:tr>
      <w:tr>
        <w:tc>
          <w:tcPr>
            <w:tcW w:type="dxa" w:w="2628"/>
          </w:tcPr>
          <w:p>
            <w:r>
              <w:t>P50 Cost</w:t>
            </w:r>
          </w:p>
        </w:tc>
        <w:tc>
          <w:tcPr>
            <w:tcW w:type="dxa" w:w="2628"/>
          </w:tcPr>
          <w:p>
            <w:r>
              <w:t>$198.0B</w:t>
            </w:r>
          </w:p>
        </w:tc>
        <w:tc>
          <w:tcPr>
            <w:tcW w:type="dxa" w:w="2628"/>
          </w:tcPr>
          <w:p>
            <w:r>
              <w:t>Most likely first-pass cost based on selected class and scenario.</w:t>
            </w:r>
          </w:p>
        </w:tc>
        <w:tc>
          <w:tcPr>
            <w:tcW w:type="dxa" w:w="2628"/>
          </w:tcPr>
          <w:p>
            <w:r>
              <w:t>Use as initial investment control point.</w:t>
            </w:r>
          </w:p>
        </w:tc>
      </w:tr>
      <w:tr>
        <w:tc>
          <w:tcPr>
            <w:tcW w:type="dxa" w:w="2628"/>
          </w:tcPr>
          <w:p>
            <w:r>
              <w:t>Cost Range</w:t>
            </w:r>
          </w:p>
        </w:tc>
        <w:tc>
          <w:tcPr>
            <w:tcW w:type="dxa" w:w="2628"/>
          </w:tcPr>
          <w:p>
            <w:r>
              <w:t>$158.4B - $257.4B</w:t>
            </w:r>
          </w:p>
        </w:tc>
        <w:tc>
          <w:tcPr>
            <w:tcW w:type="dxa" w:w="2628"/>
          </w:tcPr>
          <w:p>
            <w:r>
              <w:t>Class/maturity and QCRA uncertainty range.</w:t>
            </w:r>
          </w:p>
        </w:tc>
        <w:tc>
          <w:tcPr>
            <w:tcW w:type="dxa" w:w="2628"/>
          </w:tcPr>
          <w:p>
            <w:r>
              <w:t>Do not approve without range acknowledgement.</w:t>
            </w:r>
          </w:p>
        </w:tc>
      </w:tr>
      <w:tr>
        <w:tc>
          <w:tcPr>
            <w:tcW w:type="dxa" w:w="2628"/>
          </w:tcPr>
          <w:p>
            <w:r>
              <w:t>QCRA P80</w:t>
            </w:r>
          </w:p>
        </w:tc>
        <w:tc>
          <w:tcPr>
            <w:tcW w:type="dxa" w:w="2628"/>
          </w:tcPr>
          <w:p>
            <w:r>
              <w:t>$273.9B</w:t>
            </w:r>
          </w:p>
        </w:tc>
        <w:tc>
          <w:tcPr>
            <w:tcW w:type="dxa" w:w="2628"/>
          </w:tcPr>
          <w:p>
            <w:r>
              <w:t>Risk-adjusted cost confidence level.</w:t>
            </w:r>
          </w:p>
        </w:tc>
        <w:tc>
          <w:tcPr>
            <w:tcW w:type="dxa" w:w="2628"/>
          </w:tcPr>
          <w:p>
            <w:r>
              <w:t>Set funding envelope and contingency rules.</w:t>
            </w:r>
          </w:p>
        </w:tc>
      </w:tr>
      <w:tr>
        <w:tc>
          <w:tcPr>
            <w:tcW w:type="dxa" w:w="2628"/>
          </w:tcPr>
          <w:p>
            <w:r>
              <w:t>Baseline / QSRA P80</w:t>
            </w:r>
          </w:p>
        </w:tc>
        <w:tc>
          <w:tcPr>
            <w:tcW w:type="dxa" w:w="2628"/>
          </w:tcPr>
          <w:p>
            <w:r>
              <w:t>246 months / 267.52 months</w:t>
            </w:r>
          </w:p>
        </w:tc>
        <w:tc>
          <w:tcPr>
            <w:tcW w:type="dxa" w:w="2628"/>
          </w:tcPr>
          <w:p>
            <w:r>
              <w:t>Schedule risk exposure and delivery confidence.</w:t>
            </w:r>
          </w:p>
        </w:tc>
        <w:tc>
          <w:tcPr>
            <w:tcW w:type="dxa" w:w="2628"/>
          </w:tcPr>
          <w:p>
            <w:r>
              <w:t>Require critical path validation.</w:t>
            </w:r>
          </w:p>
        </w:tc>
      </w:tr>
      <w:tr>
        <w:tc>
          <w:tcPr>
            <w:tcW w:type="dxa" w:w="2628"/>
          </w:tcPr>
          <w:p>
            <w:r>
              <w:t>Risk / Confidence</w:t>
            </w:r>
          </w:p>
        </w:tc>
        <w:tc>
          <w:tcPr>
            <w:tcW w:type="dxa" w:w="2628"/>
          </w:tcPr>
          <w:p>
            <w:r>
              <w:t>High / 65%</w:t>
            </w:r>
          </w:p>
        </w:tc>
        <w:tc>
          <w:tcPr>
            <w:tcW w:type="dxa" w:w="2628"/>
          </w:tcPr>
          <w:p>
            <w:r>
              <w:t>Early-stage confidence and data quality status.</w:t>
            </w:r>
          </w:p>
        </w:tc>
        <w:tc>
          <w:tcPr>
            <w:tcW w:type="dxa" w:w="2628"/>
          </w:tcPr>
          <w:p>
            <w:r>
              <w:t>Approve evidence-improvement plan.</w:t>
            </w:r>
          </w:p>
        </w:tc>
      </w:tr>
      <w:tr>
        <w:tc>
          <w:tcPr>
            <w:tcW w:type="dxa" w:w="2628"/>
          </w:tcPr>
          <w:p>
            <w:r>
              <w:t>Direct / Indirect / Reserve</w:t>
            </w:r>
          </w:p>
        </w:tc>
        <w:tc>
          <w:tcPr>
            <w:tcW w:type="dxa" w:w="2628"/>
          </w:tcPr>
          <w:p>
            <w:r>
              <w:t>$154.4B / $29.7B / $23.8B</w:t>
            </w:r>
          </w:p>
        </w:tc>
        <w:tc>
          <w:tcPr>
            <w:tcW w:type="dxa" w:w="2628"/>
          </w:tcPr>
          <w:p>
            <w:r>
              <w:t>Prevents reserves being hidden inside direct cost.</w:t>
            </w:r>
          </w:p>
        </w:tc>
        <w:tc>
          <w:tcPr>
            <w:tcW w:type="dxa" w:w="2628"/>
          </w:tcPr>
          <w:p>
            <w:r>
              <w:t>Challenge contractor and adviser basis.</w:t>
            </w:r>
          </w:p>
        </w:tc>
      </w:tr>
    </w:tbl>
    <w:p>
      <w:pPr>
        <w:pStyle w:val="Heading1"/>
      </w:pPr>
      <w:r>
        <w:t>2. Executive Recommendation</w:t>
      </w:r>
    </w:p>
    <w:p>
      <w:pPr>
        <w:pStyle w:val="ListBullet"/>
      </w:pPr>
      <w:r>
        <w:t>Lower-risk selected: more assurance, surveys, float and contingency raise headline cost but improve confidence.</w:t>
      </w:r>
    </w:p>
    <w:p>
      <w:pPr>
        <w:pStyle w:val="ListBullet"/>
      </w:pPr>
      <w:r>
        <w:t>Controls consequence: stronger evidence should move risk from unknown unknowns into quantified known unknowns.</w:t>
      </w:r>
    </w:p>
    <w:p>
      <w:pPr>
        <w:pStyle w:val="ListBullet"/>
      </w:pPr>
      <w:r>
        <w:t>Board decision: approve with a confidence-improvement plan and gate evidence pack.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3. Cost Estimate - Selected Class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CBS</w:t>
            </w:r>
          </w:p>
        </w:tc>
        <w:tc>
          <w:tcPr>
            <w:tcW w:type="dxa" w:w="1502"/>
          </w:tcPr>
          <w:p>
            <w:r>
              <w:t>Description</w:t>
            </w:r>
          </w:p>
        </w:tc>
        <w:tc>
          <w:tcPr>
            <w:tcW w:type="dxa" w:w="1502"/>
          </w:tcPr>
          <w:p>
            <w:r>
              <w:t>Type</w:t>
            </w:r>
          </w:p>
        </w:tc>
        <w:tc>
          <w:tcPr>
            <w:tcW w:type="dxa" w:w="1502"/>
          </w:tcPr>
          <w:p>
            <w:r>
              <w:t>P10</w:t>
            </w:r>
          </w:p>
        </w:tc>
        <w:tc>
          <w:tcPr>
            <w:tcW w:type="dxa" w:w="1502"/>
          </w:tcPr>
          <w:p>
            <w:r>
              <w:t>P50</w:t>
            </w:r>
          </w:p>
        </w:tc>
        <w:tc>
          <w:tcPr>
            <w:tcW w:type="dxa" w:w="1502"/>
          </w:tcPr>
          <w:p>
            <w:r>
              <w:t>P90</w:t>
            </w:r>
          </w:p>
        </w:tc>
        <w:tc>
          <w:tcPr>
            <w:tcW w:type="dxa" w:w="1502"/>
          </w:tcPr>
          <w:p>
            <w:r>
              <w:t>Basis</w:t>
            </w:r>
          </w:p>
        </w:tc>
      </w:tr>
      <w:tr>
        <w:tc>
          <w:tcPr>
            <w:tcW w:type="dxa" w:w="1502"/>
          </w:tcPr>
          <w:p>
            <w:r>
              <w:t>01.01</w:t>
            </w:r>
          </w:p>
        </w:tc>
        <w:tc>
          <w:tcPr>
            <w:tcW w:type="dxa" w:w="1502"/>
          </w:tcPr>
          <w:p>
            <w:r>
              <w:t>DDT&amp;E Engineering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$14.3B</w:t>
            </w:r>
          </w:p>
        </w:tc>
        <w:tc>
          <w:tcPr>
            <w:tcW w:type="dxa" w:w="1502"/>
          </w:tcPr>
          <w:p>
            <w:r>
              <w:t>$17.8B</w:t>
            </w:r>
          </w:p>
        </w:tc>
        <w:tc>
          <w:tcPr>
            <w:tcW w:type="dxa" w:w="1502"/>
          </w:tcPr>
          <w:p>
            <w:r>
              <w:t>$23.2B</w:t>
            </w:r>
          </w:p>
        </w:tc>
        <w:tc>
          <w:tcPr>
            <w:tcW w:type="dxa" w:w="1502"/>
          </w:tcPr>
          <w:p>
            <w:r>
              <w:t>DDT&amp;E Engineering priced as 9.0%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01.02</w:t>
            </w:r>
          </w:p>
        </w:tc>
        <w:tc>
          <w:tcPr>
            <w:tcW w:type="dxa" w:w="1502"/>
          </w:tcPr>
          <w:p>
            <w:r>
              <w:t>Systems Engineering &amp; Integration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$9.5B</w:t>
            </w:r>
          </w:p>
        </w:tc>
        <w:tc>
          <w:tcPr>
            <w:tcW w:type="dxa" w:w="1502"/>
          </w:tcPr>
          <w:p>
            <w:r>
              <w:t>$11.9B</w:t>
            </w:r>
          </w:p>
        </w:tc>
        <w:tc>
          <w:tcPr>
            <w:tcW w:type="dxa" w:w="1502"/>
          </w:tcPr>
          <w:p>
            <w:r>
              <w:t>$15.4B</w:t>
            </w:r>
          </w:p>
        </w:tc>
        <w:tc>
          <w:tcPr>
            <w:tcW w:type="dxa" w:w="1502"/>
          </w:tcPr>
          <w:p>
            <w:r>
              <w:t>Systems Engineering &amp; Integration priced as 6.0%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01.03</w:t>
            </w:r>
          </w:p>
        </w:tc>
        <w:tc>
          <w:tcPr>
            <w:tcW w:type="dxa" w:w="1502"/>
          </w:tcPr>
          <w:p>
            <w:r>
              <w:t>Structures / Habitat Shell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$15.8B</w:t>
            </w:r>
          </w:p>
        </w:tc>
        <w:tc>
          <w:tcPr>
            <w:tcW w:type="dxa" w:w="1502"/>
          </w:tcPr>
          <w:p>
            <w:r>
              <w:t>$19.8B</w:t>
            </w:r>
          </w:p>
        </w:tc>
        <w:tc>
          <w:tcPr>
            <w:tcW w:type="dxa" w:w="1502"/>
          </w:tcPr>
          <w:p>
            <w:r>
              <w:t>$25.7B</w:t>
            </w:r>
          </w:p>
        </w:tc>
        <w:tc>
          <w:tcPr>
            <w:tcW w:type="dxa" w:w="1502"/>
          </w:tcPr>
          <w:p>
            <w:r>
              <w:t>Structures / Habitat Shell priced as 10.0%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01.04</w:t>
            </w:r>
          </w:p>
        </w:tc>
        <w:tc>
          <w:tcPr>
            <w:tcW w:type="dxa" w:w="1502"/>
          </w:tcPr>
          <w:p>
            <w:r>
              <w:t>Power Generation &amp; Distribution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$12.7B</w:t>
            </w:r>
          </w:p>
        </w:tc>
        <w:tc>
          <w:tcPr>
            <w:tcW w:type="dxa" w:w="1502"/>
          </w:tcPr>
          <w:p>
            <w:r>
              <w:t>$15.8B</w:t>
            </w:r>
          </w:p>
        </w:tc>
        <w:tc>
          <w:tcPr>
            <w:tcW w:type="dxa" w:w="1502"/>
          </w:tcPr>
          <w:p>
            <w:r>
              <w:t>$20.6B</w:t>
            </w:r>
          </w:p>
        </w:tc>
        <w:tc>
          <w:tcPr>
            <w:tcW w:type="dxa" w:w="1502"/>
          </w:tcPr>
          <w:p>
            <w:r>
              <w:t>Power Generation &amp; Distribution priced as 8.0%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01.05</w:t>
            </w:r>
          </w:p>
        </w:tc>
        <w:tc>
          <w:tcPr>
            <w:tcW w:type="dxa" w:w="1502"/>
          </w:tcPr>
          <w:p>
            <w:r>
              <w:t>ECLSS / Life Support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$14.3B</w:t>
            </w:r>
          </w:p>
        </w:tc>
        <w:tc>
          <w:tcPr>
            <w:tcW w:type="dxa" w:w="1502"/>
          </w:tcPr>
          <w:p>
            <w:r>
              <w:t>$17.8B</w:t>
            </w:r>
          </w:p>
        </w:tc>
        <w:tc>
          <w:tcPr>
            <w:tcW w:type="dxa" w:w="1502"/>
          </w:tcPr>
          <w:p>
            <w:r>
              <w:t>$23.2B</w:t>
            </w:r>
          </w:p>
        </w:tc>
        <w:tc>
          <w:tcPr>
            <w:tcW w:type="dxa" w:w="1502"/>
          </w:tcPr>
          <w:p>
            <w:r>
              <w:t>ECLSS / Life Support priced as 9.0%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01.06</w:t>
            </w:r>
          </w:p>
        </w:tc>
        <w:tc>
          <w:tcPr>
            <w:tcW w:type="dxa" w:w="1502"/>
          </w:tcPr>
          <w:p>
            <w:r>
              <w:t>Payload / Mission Equipment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$11.1B</w:t>
            </w:r>
          </w:p>
        </w:tc>
        <w:tc>
          <w:tcPr>
            <w:tcW w:type="dxa" w:w="1502"/>
          </w:tcPr>
          <w:p>
            <w:r>
              <w:t>$13.9B</w:t>
            </w:r>
          </w:p>
        </w:tc>
        <w:tc>
          <w:tcPr>
            <w:tcW w:type="dxa" w:w="1502"/>
          </w:tcPr>
          <w:p>
            <w:r>
              <w:t>$18.0B</w:t>
            </w:r>
          </w:p>
        </w:tc>
        <w:tc>
          <w:tcPr>
            <w:tcW w:type="dxa" w:w="1502"/>
          </w:tcPr>
          <w:p>
            <w:r>
              <w:t>Payload / Mission Equipment priced as 7.0%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01.07</w:t>
            </w:r>
          </w:p>
        </w:tc>
        <w:tc>
          <w:tcPr>
            <w:tcW w:type="dxa" w:w="1502"/>
          </w:tcPr>
          <w:p>
            <w:r>
              <w:t>Robotics / Autonomous Construction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$9.5B</w:t>
            </w:r>
          </w:p>
        </w:tc>
        <w:tc>
          <w:tcPr>
            <w:tcW w:type="dxa" w:w="1502"/>
          </w:tcPr>
          <w:p>
            <w:r>
              <w:t>$11.9B</w:t>
            </w:r>
          </w:p>
        </w:tc>
        <w:tc>
          <w:tcPr>
            <w:tcW w:type="dxa" w:w="1502"/>
          </w:tcPr>
          <w:p>
            <w:r>
              <w:t>$15.4B</w:t>
            </w:r>
          </w:p>
        </w:tc>
        <w:tc>
          <w:tcPr>
            <w:tcW w:type="dxa" w:w="1502"/>
          </w:tcPr>
          <w:p>
            <w:r>
              <w:t>Robotics / Autonomous Construction priced as 6.0%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01.08</w:t>
            </w:r>
          </w:p>
        </w:tc>
        <w:tc>
          <w:tcPr>
            <w:tcW w:type="dxa" w:w="1502"/>
          </w:tcPr>
          <w:p>
            <w:r>
              <w:t>Launch Services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$22.2B</w:t>
            </w:r>
          </w:p>
        </w:tc>
        <w:tc>
          <w:tcPr>
            <w:tcW w:type="dxa" w:w="1502"/>
          </w:tcPr>
          <w:p>
            <w:r>
              <w:t>$27.7B</w:t>
            </w:r>
          </w:p>
        </w:tc>
        <w:tc>
          <w:tcPr>
            <w:tcW w:type="dxa" w:w="1502"/>
          </w:tcPr>
          <w:p>
            <w:r>
              <w:t>$36.0B</w:t>
            </w:r>
          </w:p>
        </w:tc>
        <w:tc>
          <w:tcPr>
            <w:tcW w:type="dxa" w:w="1502"/>
          </w:tcPr>
          <w:p>
            <w:r>
              <w:t>Launch Services priced as 14.0%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01.09</w:t>
            </w:r>
          </w:p>
        </w:tc>
        <w:tc>
          <w:tcPr>
            <w:tcW w:type="dxa" w:w="1502"/>
          </w:tcPr>
          <w:p>
            <w:r>
              <w:t>Transport / Landing / Surface Logistics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$14.3B</w:t>
            </w:r>
          </w:p>
        </w:tc>
        <w:tc>
          <w:tcPr>
            <w:tcW w:type="dxa" w:w="1502"/>
          </w:tcPr>
          <w:p>
            <w:r>
              <w:t>$17.8B</w:t>
            </w:r>
          </w:p>
        </w:tc>
        <w:tc>
          <w:tcPr>
            <w:tcW w:type="dxa" w:w="1502"/>
          </w:tcPr>
          <w:p>
            <w:r>
              <w:t>$23.2B</w:t>
            </w:r>
          </w:p>
        </w:tc>
        <w:tc>
          <w:tcPr>
            <w:tcW w:type="dxa" w:w="1502"/>
          </w:tcPr>
          <w:p>
            <w:r>
              <w:t>Transport / Landing / Surface Logistics priced as 9.0%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02.01</w:t>
            </w:r>
          </w:p>
        </w:tc>
        <w:tc>
          <w:tcPr>
            <w:tcW w:type="dxa" w:w="1502"/>
          </w:tcPr>
          <w:p>
            <w:r>
              <w:t>Test &amp; Qualification Facilities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$7.9B</w:t>
            </w:r>
          </w:p>
        </w:tc>
        <w:tc>
          <w:tcPr>
            <w:tcW w:type="dxa" w:w="1502"/>
          </w:tcPr>
          <w:p>
            <w:r>
              <w:t>$9.9B</w:t>
            </w:r>
          </w:p>
        </w:tc>
        <w:tc>
          <w:tcPr>
            <w:tcW w:type="dxa" w:w="1502"/>
          </w:tcPr>
          <w:p>
            <w:r>
              <w:t>$12.9B</w:t>
            </w:r>
          </w:p>
        </w:tc>
        <w:tc>
          <w:tcPr>
            <w:tcW w:type="dxa" w:w="1502"/>
          </w:tcPr>
          <w:p>
            <w:r>
              <w:t>Test &amp; Qualification Facilities priced as 5.0%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02.02</w:t>
            </w:r>
          </w:p>
        </w:tc>
        <w:tc>
          <w:tcPr>
            <w:tcW w:type="dxa" w:w="1502"/>
          </w:tcPr>
          <w:p>
            <w:r>
              <w:t>Safety &amp; Mission Assurance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$7.9B</w:t>
            </w:r>
          </w:p>
        </w:tc>
        <w:tc>
          <w:tcPr>
            <w:tcW w:type="dxa" w:w="1502"/>
          </w:tcPr>
          <w:p>
            <w:r>
              <w:t>$9.9B</w:t>
            </w:r>
          </w:p>
        </w:tc>
        <w:tc>
          <w:tcPr>
            <w:tcW w:type="dxa" w:w="1502"/>
          </w:tcPr>
          <w:p>
            <w:r>
              <w:t>$12.9B</w:t>
            </w:r>
          </w:p>
        </w:tc>
        <w:tc>
          <w:tcPr>
            <w:tcW w:type="dxa" w:w="1502"/>
          </w:tcPr>
          <w:p>
            <w:r>
              <w:t>Safety &amp; Mission Assurance priced as 5.0%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02.03</w:t>
            </w:r>
          </w:p>
        </w:tc>
        <w:tc>
          <w:tcPr>
            <w:tcW w:type="dxa" w:w="1502"/>
          </w:tcPr>
          <w:p>
            <w:r>
              <w:t>Programme Management / PMO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$7.9B</w:t>
            </w:r>
          </w:p>
        </w:tc>
        <w:tc>
          <w:tcPr>
            <w:tcW w:type="dxa" w:w="1502"/>
          </w:tcPr>
          <w:p>
            <w:r>
              <w:t>$9.9B</w:t>
            </w:r>
          </w:p>
        </w:tc>
        <w:tc>
          <w:tcPr>
            <w:tcW w:type="dxa" w:w="1502"/>
          </w:tcPr>
          <w:p>
            <w:r>
              <w:t>$12.9B</w:t>
            </w:r>
          </w:p>
        </w:tc>
        <w:tc>
          <w:tcPr>
            <w:tcW w:type="dxa" w:w="1502"/>
          </w:tcPr>
          <w:p>
            <w:r>
              <w:t>Programme Management / PMO priced as 5.0%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03.01</w:t>
            </w:r>
          </w:p>
        </w:tc>
        <w:tc>
          <w:tcPr>
            <w:tcW w:type="dxa" w:w="1502"/>
          </w:tcPr>
          <w:p>
            <w:r>
              <w:t>Risk Contingency / UFE</w:t>
            </w:r>
          </w:p>
        </w:tc>
        <w:tc>
          <w:tcPr>
            <w:tcW w:type="dxa" w:w="1502"/>
          </w:tcPr>
          <w:p>
            <w:r>
              <w:t>Reserve</w:t>
            </w:r>
          </w:p>
        </w:tc>
        <w:tc>
          <w:tcPr>
            <w:tcW w:type="dxa" w:w="1502"/>
          </w:tcPr>
          <w:p>
            <w:r>
              <w:t>$11.1B</w:t>
            </w:r>
          </w:p>
        </w:tc>
        <w:tc>
          <w:tcPr>
            <w:tcW w:type="dxa" w:w="1502"/>
          </w:tcPr>
          <w:p>
            <w:r>
              <w:t>$13.9B</w:t>
            </w:r>
          </w:p>
        </w:tc>
        <w:tc>
          <w:tcPr>
            <w:tcW w:type="dxa" w:w="1502"/>
          </w:tcPr>
          <w:p>
            <w:r>
              <w:t>$18.0B</w:t>
            </w:r>
          </w:p>
        </w:tc>
        <w:tc>
          <w:tcPr>
            <w:tcW w:type="dxa" w:w="1502"/>
          </w:tcPr>
          <w:p>
            <w:r>
              <w:t>Risk Contingency / UFE priced as 7.0% of P50 from sector template, location factor 2.90, scale factor 1.00, complexity factor 1.96.</w:t>
            </w:r>
          </w:p>
        </w:tc>
      </w:tr>
      <w:tr>
        <w:tc>
          <w:tcPr>
            <w:tcW w:type="dxa" w:w="1502"/>
          </w:tcPr>
          <w:p>
            <w:r>
              <w:t>03.02</w:t>
            </w:r>
          </w:p>
        </w:tc>
        <w:tc>
          <w:tcPr>
            <w:tcW w:type="dxa" w:w="1502"/>
          </w:tcPr>
          <w:p>
            <w:r>
              <w:t>Management Reserve</w:t>
            </w:r>
          </w:p>
        </w:tc>
        <w:tc>
          <w:tcPr>
            <w:tcW w:type="dxa" w:w="1502"/>
          </w:tcPr>
          <w:p>
            <w:r>
              <w:t>Reserve</w:t>
            </w:r>
          </w:p>
        </w:tc>
        <w:tc>
          <w:tcPr>
            <w:tcW w:type="dxa" w:w="1502"/>
          </w:tcPr>
          <w:p>
            <w:r>
              <w:t>$7.9B</w:t>
            </w:r>
          </w:p>
        </w:tc>
        <w:tc>
          <w:tcPr>
            <w:tcW w:type="dxa" w:w="1502"/>
          </w:tcPr>
          <w:p>
            <w:r>
              <w:t>$9.9B</w:t>
            </w:r>
          </w:p>
        </w:tc>
        <w:tc>
          <w:tcPr>
            <w:tcW w:type="dxa" w:w="1502"/>
          </w:tcPr>
          <w:p>
            <w:r>
              <w:t>$12.9B</w:t>
            </w:r>
          </w:p>
        </w:tc>
        <w:tc>
          <w:tcPr>
            <w:tcW w:type="dxa" w:w="1502"/>
          </w:tcPr>
          <w:p>
            <w:r>
              <w:t>Management Reserve priced as 5.0% of P50 from sector template, location factor 2.90, scale factor 1.00, complexity factor 1.96.</w:t>
            </w:r>
          </w:p>
        </w:tc>
      </w:tr>
    </w:tbl>
    <w:p>
      <w:pPr>
        <w:pStyle w:val="Heading1"/>
      </w:pPr>
      <w:r>
        <w:t>4. QCRA and QSRA</w:t>
      </w:r>
    </w:p>
    <w:p>
      <w:r>
        <w:t>QCRA cost P10 / P50 / P80 / P90: $215.6B / $198.0B / $273.9B / $287.2B</w:t>
      </w:r>
    </w:p>
    <w:p>
      <w:r>
        <w:t>QSRA schedule P10 / P50 / P80 / P90: 244.24 / 256.54 / 267.52 / 272.92 months</w:t>
      </w:r>
    </w:p>
    <w:p>
      <w:pPr>
        <w:pStyle w:val="Heading2"/>
      </w:pPr>
      <w:r>
        <w:t>5. QCRA Tornado Drivers</w:t>
      </w:r>
    </w:p>
    <w:p>
      <w:pPr>
        <w:pStyle w:val="ListBullet"/>
      </w:pPr>
      <w:r>
        <w:t>Mass growth - 01.05 - mean exposure $7.4B</w:t>
      </w:r>
    </w:p>
    <w:p>
      <w:pPr>
        <w:pStyle w:val="ListBullet"/>
      </w:pPr>
      <w:r>
        <w:t>Life-support reliability - 01.06 - mean exposure $7.2B</w:t>
      </w:r>
    </w:p>
    <w:p>
      <w:pPr>
        <w:pStyle w:val="ListBullet"/>
      </w:pPr>
      <w:r>
        <w:t>Launch manifest delay - 01.04 - mean exposure $7.0B</w:t>
      </w:r>
    </w:p>
    <w:p>
      <w:pPr>
        <w:pStyle w:val="ListBullet"/>
      </w:pPr>
      <w:r>
        <w:t>Market escalation - 01.08 - mean exposure $5.5B</w:t>
      </w:r>
    </w:p>
    <w:p>
      <w:pPr>
        <w:pStyle w:val="ListBullet"/>
      </w:pPr>
      <w:r>
        <w:t>Scope growth - 01.07 - mean exposure $4.1B</w:t>
      </w:r>
    </w:p>
    <w:p>
      <w:pPr>
        <w:pStyle w:val="ListBullet"/>
      </w:pPr>
      <w:r>
        <w:t>Design maturity gap - 02.01 - mean exposure $4.0B</w:t>
      </w:r>
    </w:p>
    <w:p>
      <w:pPr>
        <w:pStyle w:val="ListBullet"/>
      </w:pPr>
      <w:r>
        <w:t>Supply chain delay - 02.02 - mean exposure $3.4B</w:t>
      </w:r>
    </w:p>
    <w:p>
      <w:pPr>
        <w:pStyle w:val="ListBullet"/>
      </w:pPr>
      <w:r>
        <w:t>Productivity underperformance - 02.03 - mean exposure $3.3B</w:t>
      </w:r>
    </w:p>
    <w:p>
      <w:pPr>
        <w:pStyle w:val="Heading2"/>
      </w:pPr>
      <w:r>
        <w:t>6. QSRA Tornado Drivers</w:t>
      </w:r>
    </w:p>
    <w:p>
      <w:pPr>
        <w:pStyle w:val="ListBullet"/>
      </w:pPr>
      <w:r>
        <w:t>Launch manifest delay - A1400 - mean exposure 24.7 days</w:t>
      </w:r>
    </w:p>
    <w:p>
      <w:pPr>
        <w:pStyle w:val="ListBullet"/>
      </w:pPr>
      <w:r>
        <w:t>Life-support reliability - A1600 - mean exposure 23.1 days</w:t>
      </w:r>
    </w:p>
    <w:p>
      <w:pPr>
        <w:pStyle w:val="ListBullet"/>
      </w:pPr>
      <w:r>
        <w:t>Mass growth - A1500 - mean exposure 18.1 days</w:t>
      </w:r>
    </w:p>
    <w:p>
      <w:pPr>
        <w:pStyle w:val="ListBullet"/>
      </w:pPr>
      <w:r>
        <w:t>Permits / approvals delay - A1900 - mean exposure 17.7 days</w:t>
      </w:r>
    </w:p>
    <w:p>
      <w:pPr>
        <w:pStyle w:val="ListBullet"/>
      </w:pPr>
      <w:r>
        <w:t>Scope growth - A1700 - mean exposure 14.3 days</w:t>
      </w:r>
    </w:p>
    <w:p>
      <w:pPr>
        <w:pStyle w:val="ListBullet"/>
      </w:pPr>
      <w:r>
        <w:t>Design maturity gap - A2000 - mean exposure 12.6 days</w:t>
      </w:r>
    </w:p>
    <w:p>
      <w:pPr>
        <w:pStyle w:val="ListBullet"/>
      </w:pPr>
      <w:r>
        <w:t>Productivity underperformance - P1000 - mean exposure 12.5 days</w:t>
      </w:r>
    </w:p>
    <w:p>
      <w:pPr>
        <w:pStyle w:val="ListBullet"/>
      </w:pPr>
      <w:r>
        <w:t>Supply chain delay - A2100 - mean exposure 12.4 days</w:t>
      </w:r>
    </w:p>
    <w:p>
      <w:pPr>
        <w:pStyle w:val="Heading1"/>
      </w:pPr>
      <w:r>
        <w:t>7. Risk Register - Board Top Risks</w:t>
      </w:r>
    </w:p>
    <w:p>
      <w:pPr>
        <w:pStyle w:val="ListBullet"/>
      </w:pPr>
      <w:r>
        <w:t>R-S01 Launch manifest delay</w:t>
      </w:r>
    </w:p>
    <w:p>
      <w:r>
        <w:t>Cause: Launch provider capacity, weather windows, manifest priority or vehicle readiness. Event: Confirmed launch slot moves or payload misses manifest gate. Impact: Programme delay, storage cost, resequencing and mission-readiness risk. Mitigation: Reserve alternate launch slot, freeze payload interface, maintain launch-readiness checklist. Owner: Launch Integration Lead.</w:t>
      </w:r>
    </w:p>
    <w:p>
      <w:pPr>
        <w:pStyle w:val="ListBullet"/>
      </w:pPr>
      <w:r>
        <w:t>R-S03 Life-support reliability</w:t>
      </w:r>
    </w:p>
    <w:p>
      <w:r>
        <w:t>Cause: ECLSS reliability, spares or redundancy evidence below target. Event: Life-support system fails reliability growth or integrated test. Impact: Crew safety exposure, launch delay, redesign and mission abort risk. Mitigation: Prototype testing, redundancy, reliability growth, independent assurance. Owner: Life Support Lead.</w:t>
      </w:r>
    </w:p>
    <w:p>
      <w:pPr>
        <w:pStyle w:val="ListBullet"/>
      </w:pPr>
      <w:r>
        <w:t>R-S02 Mass growth</w:t>
      </w:r>
    </w:p>
    <w:p>
      <w:r>
        <w:t>Cause: Design creep, shielding, redundancy or late payload additions increase mass. Event: Payload mass exceeds launch and landing allowance. Impact: Launch cost, redesign, performance loss and mission safety exposure. Mitigation: Mass control board, margin policy, design-to-mass reviews. Owner: Chief Engineer.</w:t>
      </w:r>
    </w:p>
    <w:p>
      <w:pPr>
        <w:pStyle w:val="ListBullet"/>
      </w:pPr>
      <w:r>
        <w:t>R-002 Market escalation</w:t>
      </w:r>
    </w:p>
    <w:p>
      <w:r>
        <w:t>Cause: Supplier market tightness, inflation, FX and long procurement window. Event: Rates exceed assumed escalation profile. Impact: P50 cost becomes understated; commercial approvals or procurement strategy may need reset. Mitigation: Early procurement, index-linked allowances, market testing, FX strategy. Owner: Commercial Lead.</w:t>
      </w:r>
    </w:p>
    <w:p>
      <w:pPr>
        <w:pStyle w:val="ListBullet"/>
      </w:pPr>
      <w:r>
        <w:t>R-004 Design maturity gap</w:t>
      </w:r>
    </w:p>
    <w:p>
      <w:r>
        <w:t>Cause: Estimate is based on immature design, incomplete surveys or unresolved interfaces. Event: Design basis changes during detailed design. Impact: Cost growth, quantity movement, rework and schedule resequencing. Mitigation: Design maturity gates, independent review, assumption register. Owner: Design Manager.</w:t>
      </w:r>
    </w:p>
    <w:p>
      <w:pPr>
        <w:pStyle w:val="ListBullet"/>
      </w:pPr>
      <w:r>
        <w:t>R-001 Scope growth</w:t>
      </w:r>
    </w:p>
    <w:p>
      <w:r>
        <w:t>Cause: Ambiguous requirements, immature scope freeze and late stakeholder changes. Event: Approved scope expands after estimate freeze. Impact: Additional quantities, redesign, rework, procurement churn and board contingency drawdown. Mitigation: Freeze scope baseline, change board, value gates, client decision log. Owner: Project Director.</w:t>
      </w:r>
    </w:p>
    <w:p>
      <w:pPr>
        <w:pStyle w:val="ListBullet"/>
      </w:pPr>
      <w:r>
        <w:t>R-006 Productivity underperformance</w:t>
      </w:r>
    </w:p>
    <w:p>
      <w:r>
        <w:t>Cause: Access constraints, poor sequencing, labour scarcity or learning curve. Event: Actual production rates underperform plan. Impact: Extended duration, increased preliminaries and loss of float. Mitigation: Package productivity controls, daily planning, earned value cadence. Owner: Delivery Lead.</w:t>
      </w:r>
    </w:p>
    <w:p>
      <w:pPr>
        <w:pStyle w:val="ListBullet"/>
      </w:pPr>
      <w:r>
        <w:t>R-005 Supply chain delay</w:t>
      </w:r>
    </w:p>
    <w:p>
      <w:r>
        <w:t>Cause: Long-lead equipment, constrained suppliers or late procurement release. Event: Supplier promise dates move right. Impact: Delayed installation, critical path movement and acceleration cost. Mitigation: Alternate suppliers, early orders, expediting, framework options. Owner: Procurement Lead.</w:t>
      </w:r>
    </w:p>
    <w:p>
      <w:pPr>
        <w:pStyle w:val="ListBullet"/>
      </w:pPr>
      <w:r>
        <w:t>R-008 Interface misalignment</w:t>
      </w:r>
    </w:p>
    <w:p>
      <w:r>
        <w:t>Cause: Multiple contractors, unclear interface ownership or late design coordination. Event: Package interfaces do not align during installation/integration. Impact: Rework, claims, delay and fragmented accountability. Mitigation: Interface control documents, weekly interface board, accountable owners. Owner: Integration Manager.</w:t>
      </w:r>
    </w:p>
    <w:p>
      <w:pPr>
        <w:pStyle w:val="ListBullet"/>
      </w:pPr>
      <w:r>
        <w:t>R-007 Commissioning delay</w:t>
      </w:r>
    </w:p>
    <w:p>
      <w:r>
        <w:t>Cause: Incomplete readiness, software integration issues or defects during testing. Event: Systems fail tests or require repeated commissioning cycles. Impact: Delayed handover, operational readiness slippage and liquidated damages exposure. Mitigation: Commissioning readiness plan, early test packs, digital systems integration. Owner: Commissioning Lead.</w:t>
      </w:r>
    </w:p>
    <w:p>
      <w:pPr>
        <w:pStyle w:val="Heading1"/>
      </w:pPr>
      <w:r>
        <w:t>8. Challenge Questions</w:t>
      </w:r>
    </w:p>
    <w:p>
      <w:pPr>
        <w:pStyle w:val="ListNumber"/>
      </w:pPr>
      <w:r>
        <w:t>What evidence supports the P50 cost and P80 confidence?</w:t>
      </w:r>
    </w:p>
    <w:p>
      <w:pPr>
        <w:pStyle w:val="ListNumber"/>
      </w:pPr>
      <w:r>
        <w:t>Which five risks create most contingency?</w:t>
      </w:r>
    </w:p>
    <w:p>
      <w:pPr>
        <w:pStyle w:val="ListNumber"/>
      </w:pPr>
      <w:r>
        <w:t>Which activities drive the QSRA finish-date risk?</w:t>
      </w:r>
    </w:p>
    <w:p>
      <w:pPr>
        <w:pStyle w:val="ListNumber"/>
      </w:pPr>
      <w:r>
        <w:t>What data would increase confidence before approval?</w:t>
      </w:r>
    </w:p>
    <w:p>
      <w:pPr>
        <w:pStyle w:val="ListNumber"/>
      </w:pPr>
      <w:r>
        <w:t>What is the fastest credible lower-risk path?</w:t>
      </w:r>
    </w:p>
    <w:p>
      <w:pPr>
        <w:pStyle w:val="ListNumber"/>
      </w:pPr>
      <w:r>
        <w:t>What flight heritage, TRL and qualification evidence supports the space assumptions?</w:t>
      </w:r>
    </w:p>
    <w:p>
      <w:pPr>
        <w:pStyle w:val="Heading1"/>
      </w:pPr>
      <w:r>
        <w:t>9. Assumptions and Limitations</w:t>
      </w:r>
    </w:p>
    <w:p>
      <w:r>
        <w:t>This is a first-pass project controls intelligence pack. It is designed to challenge, accelerate and structure decision-making; it is not a final contractor tender or signed cost plan. Each output includes assumptions and should be validated against project-specific evidence before commitment.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1C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1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61C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