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CASEY Strategic Board Intelligence Pack</w:t>
      </w:r>
    </w:p>
    <w:p>
      <w:r>
        <w:t>Energy / Power Infrastructure scenario view: Base. CASEY indicates $21.2B P50 exposure, $17.8B - $31.2B range, 92 months baseline, Medium-High risk and 66% confidence. Confidence is governed by regulatory approvals, grid interfaces, long-lead equipment and commissioning sequence. Trade-off: Balanced cost, time and evidence posture.</w:t>
      </w:r>
    </w:p>
    <w:p>
      <w:pPr>
        <w:pStyle w:val="Heading1"/>
      </w:pPr>
      <w:r>
        <w:t>CASEY Position</w:t>
      </w:r>
    </w:p>
    <w:p>
      <w:r>
        <w:t>CASEY POSITION</w:t>
        <w:br/>
        <w:br/>
        <w:t>CASEY does not judge Advanced Semiconductor Fab on headline progress alone.</w:t>
        <w:br/>
        <w:br/>
        <w:t>The programme should be governed through cleanroom readiness, process-tool install, ultra-pure utilities and yield-ramp qualification. Current confidence (66%) is a board-defensibility signal, not an optimism score. Risk posture is Medium-High; approval should be conditional until evidence proves the governing constraint is controlled.</w:t>
        <w:br/>
        <w:br/>
        <w:t>If management cannot evidence this constraint, the programme is not approval-ready; it is only reportable.</w:t>
      </w:r>
    </w:p>
    <w:p>
      <w:pPr>
        <w:pStyle w:val="Heading1"/>
      </w:pPr>
      <w:r>
        <w:t>Traditional Controls vs CASEY</w:t>
      </w:r>
    </w:p>
    <w:p>
      <w:r>
        <w:t>TRADITIONAL CONTROLS VS CASEY</w:t>
        <w:br/>
        <w:br/>
        <w:t>Traditional controls view:</w:t>
        <w:br/>
        <w:t>Base build and cleanroom construction appear advanced.</w:t>
        <w:br/>
        <w:br/>
        <w:t>CASEY view:</w:t>
        <w:br/>
        <w:t>Tool qualification, contamination control and yield maturity govern production confidence.</w:t>
        <w:br/>
        <w:br/>
        <w:t>Why this matters:</w:t>
        <w:br/>
        <w:t>Traditional reporting can remain green while confidence is already deteriorating. CASEY reads the behaviour underneath the dashboard: evidence maturity, governing constraint exposure, and whether float/reserve are actually usable.</w:t>
      </w:r>
    </w:p>
    <w:p>
      <w:pPr>
        <w:pStyle w:val="Heading1"/>
      </w:pPr>
      <w:r>
        <w:t>Likely Board Attacks</w:t>
      </w:r>
    </w:p>
    <w:p>
      <w:pPr>
        <w:pStyle w:val="ListBullet"/>
      </w:pPr>
      <w:r>
        <w:t>1. Which tool family governs first wafer readiness?</w:t>
      </w:r>
    </w:p>
    <w:p>
      <w:pPr>
        <w:pStyle w:val="ListBullet"/>
      </w:pPr>
      <w:r>
        <w:t>2. Is cleanroom certification evidence complete?</w:t>
      </w:r>
    </w:p>
    <w:p>
      <w:pPr>
        <w:pStyle w:val="ListBullet"/>
      </w:pPr>
      <w:r>
        <w:t>3. What purity utility assumption is most fragile?</w:t>
      </w:r>
    </w:p>
    <w:p>
      <w:pPr>
        <w:pStyle w:val="ListBullet"/>
      </w:pPr>
      <w:r>
        <w:t>4. Does schedule compression damage yield ramp?</w:t>
      </w:r>
    </w:p>
    <w:p>
      <w:pPr>
        <w:pStyle w:val="ListBullet"/>
      </w:pPr>
      <w:r>
        <w:t>5. Where is specialist labour concentration highest?</w:t>
      </w:r>
    </w:p>
    <w:p>
      <w:pPr>
        <w:pStyle w:val="Heading1"/>
      </w:pPr>
      <w:r>
        <w:t>What The Board Is Really Deciding</w:t>
      </w:r>
    </w:p>
    <w:p>
      <w:r>
        <w:t>WHAT THE BOARD IS REALLY DECIDING</w:t>
        <w:br/>
        <w:br/>
        <w:t>The board is not simply approving cost and schedule.</w:t>
        <w:br/>
        <w:br/>
        <w:t>The board is accepting:</w:t>
        <w:br/>
        <w:t>- exposure to cleanroom readiness, process-tool install, ultra-pure utilities and yield-ramp qualification</w:t>
        <w:br/>
        <w:t>- the current evidence maturity position</w:t>
        <w:br/>
        <w:t>- whether reserve is credible against P80/P90 behaviour</w:t>
        <w:br/>
        <w:t>- whether management can recover if the governing constraint slips</w:t>
        <w:br/>
        <w:br/>
        <w:t>Evidence required before unconditional approval:</w:t>
        <w:br/>
        <w:t>- tool delivery and hook-up plan</w:t>
        <w:br/>
        <w:t>- cleanroom certification</w:t>
        <w:br/>
        <w:t>- ultra-pure water readiness</w:t>
        <w:br/>
        <w:t>- process qualification gates</w:t>
        <w:br/>
        <w:t>- yield ramp assumptions</w:t>
        <w:br/>
        <w:br/>
        <w:t>CASEY POSITION</w:t>
        <w:br/>
        <w:t>Approval should be conditional. Confidence improvement requires evidence closure, not a more polished narrative.</w:t>
      </w:r>
    </w:p>
    <w:p>
      <w:pPr>
        <w:pStyle w:val="Heading1"/>
      </w:pPr>
      <w:r>
        <w:t>If This Programme Fails</w:t>
      </w:r>
    </w:p>
    <w:p>
      <w:r>
        <w:t>IF THIS PROGRAMME FAILS</w:t>
        <w:br/>
        <w:br/>
        <w:t>The most likely external explanation will be:</w:t>
        <w:br/>
        <w:t>"process-tool qualification and cleanroom utility maturity lagged shell completion."</w:t>
        <w:br/>
        <w:br/>
        <w:t>The internal explanation will be sharper:</w:t>
        <w:br/>
        <w:t>Management treated reported progress as equivalent to board-defensible readiness.</w:t>
        <w:br/>
        <w:br/>
        <w:t>CASEY WARNING</w:t>
        <w:br/>
        <w:t>The failure mode is behavioural before it is numerical: optimism, weak evidence closure, and late recognition of the governing constraint.</w:t>
      </w:r>
    </w:p>
    <w:p>
      <w:pPr>
        <w:pStyle w:val="Heading1"/>
      </w:pPr>
      <w:r>
        <w:t>Intervention Intelligence</w:t>
      </w:r>
    </w:p>
    <w:p>
      <w:r>
        <w:t>INTERVENTION INTELLIGENCE</w:t>
        <w:br/>
        <w:br/>
        <w:t>The highest-value intervention is not another status pack.</w:t>
        <w:br/>
        <w:br/>
        <w:t>1. Prove cleanroom readiness, process-tool install, ultra-pure utilities and yield-ramp qualification with auditable evidence.</w:t>
        <w:br/>
        <w:t>2. Convert the weakest assumption into an owned mitigation with trigger, date, owner and residual exposure.</w:t>
        <w:br/>
        <w:t>3. Re-run P80/P90 after evidence closure, not after narrative revision.</w:t>
        <w:br/>
        <w:br/>
        <w:t>Fastest confidence unlock:</w:t>
        <w:br/>
        <w:t>Close the first missing evidence item: tool delivery and hook-up plan.</w:t>
        <w:br/>
        <w:br/>
        <w:t>CASEY POSITION</w:t>
        <w:br/>
        <w:t>The programme needs targeted evidence closure where confidence is actually governed.</w:t>
      </w:r>
    </w:p>
    <w:p>
      <w:pPr>
        <w:pStyle w:val="Heading1"/>
      </w:pPr>
      <w:r>
        <w:t>Core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Cost P50</w:t>
            </w:r>
          </w:p>
        </w:tc>
        <w:tc>
          <w:tcPr>
            <w:tcW w:type="dxa" w:w="4320"/>
          </w:tcPr>
          <w:p>
            <w:r>
              <w:t>$21.2B</w:t>
            </w:r>
          </w:p>
        </w:tc>
      </w:tr>
      <w:tr>
        <w:tc>
          <w:tcPr>
            <w:tcW w:type="dxa" w:w="4320"/>
          </w:tcPr>
          <w:p>
            <w:r>
              <w:t>Cost Range</w:t>
            </w:r>
          </w:p>
        </w:tc>
        <w:tc>
          <w:tcPr>
            <w:tcW w:type="dxa" w:w="4320"/>
          </w:tcPr>
          <w:p>
            <w:r>
              <w:t>$17.8B - $31.2B</w:t>
            </w:r>
          </w:p>
        </w:tc>
      </w:tr>
      <w:tr>
        <w:tc>
          <w:tcPr>
            <w:tcW w:type="dxa" w:w="4320"/>
          </w:tcPr>
          <w:p>
            <w:r>
              <w:t>Schedule</w:t>
            </w:r>
          </w:p>
        </w:tc>
        <w:tc>
          <w:tcPr>
            <w:tcW w:type="dxa" w:w="4320"/>
          </w:tcPr>
          <w:p>
            <w:r>
              <w:t>92 months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Medium-High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66%</w:t>
            </w:r>
          </w:p>
        </w:tc>
      </w:tr>
      <w:tr>
        <w:tc>
          <w:tcPr>
            <w:tcW w:type="dxa" w:w="4320"/>
          </w:tcPr>
          <w:p>
            <w:r>
              <w:t>Sector Ontology</w:t>
            </w:r>
          </w:p>
        </w:tc>
        <w:tc>
          <w:tcPr>
            <w:tcW w:type="dxa" w:w="4320"/>
          </w:tcPr>
          <w:p>
            <w:r>
              <w:t>Energy / Power Infrastructure</w:t>
            </w:r>
          </w:p>
        </w:tc>
      </w:tr>
    </w:tbl>
    <w:p>
      <w:pPr>
        <w:pStyle w:val="Heading1"/>
      </w:pPr>
      <w:r>
        <w:t>Top Risks</w:t>
      </w:r>
    </w:p>
    <w:p>
      <w:pPr>
        <w:pStyle w:val="ListBullet"/>
      </w:pPr>
      <w:r>
        <w:t>R-002 Market escalation — Early procurement, index-linked allowances, market testing, FX strategy</w:t>
      </w:r>
    </w:p>
    <w:p>
      <w:pPr>
        <w:pStyle w:val="ListBullet"/>
      </w:pPr>
      <w:r>
        <w:t>R-004 Design maturity gap — Design maturity gates, independent review, assumption register</w:t>
      </w:r>
    </w:p>
    <w:p>
      <w:pPr>
        <w:pStyle w:val="ListBullet"/>
      </w:pPr>
      <w:r>
        <w:t>R-001 Scope growth — Freeze scope baseline, change board, value gates, client decision log</w:t>
      </w:r>
    </w:p>
    <w:p>
      <w:pPr>
        <w:pStyle w:val="ListBullet"/>
      </w:pPr>
      <w:r>
        <w:t>R-006 Productivity underperformance — Package productivity controls, daily planning, earned value cadence</w:t>
      </w:r>
    </w:p>
    <w:p>
      <w:pPr>
        <w:pStyle w:val="ListBullet"/>
      </w:pPr>
      <w:r>
        <w:t>R-005 Supply chain delay — Alternate suppliers, early orders, expediting, framework options</w:t>
      </w:r>
    </w:p>
    <w:p>
      <w:pPr>
        <w:pStyle w:val="ListBullet"/>
      </w:pPr>
      <w:r>
        <w:t>R-008 Interface misalignment — Interface control documents, weekly interface board, accountable owners</w:t>
      </w:r>
    </w:p>
    <w:p>
      <w:pPr>
        <w:pStyle w:val="ListBullet"/>
      </w:pPr>
      <w:r>
        <w:t>R-007 Commissioning delay — Commissioning readiness plan, early test packs, digital systems integration</w:t>
      </w:r>
    </w:p>
    <w:p>
      <w:pPr>
        <w:pStyle w:val="ListBullet"/>
      </w:pPr>
      <w:r>
        <w:t>R-003 Permits / approvals delay — Authority plan, consent tracker, early submissions, stakeholder map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