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CASEY Strategic Board Intelligence Pack</w:t>
      </w:r>
    </w:p>
    <w:p>
      <w:r>
        <w:t>Digital Infrastructure / Hyperscale Data Centre scenario view: Base. CASEY indicates $8.1B P50 exposure, $6.8B - $11.9B range, 66 months baseline, Medium-High risk and 66% confidence. Confidence is governed by utility energisation, cooling readiness, transformer supply and integrated systems testing. Trade-off: Balanced cost, time and evidence posture.</w:t>
      </w:r>
    </w:p>
    <w:p>
      <w:pPr>
        <w:pStyle w:val="Heading1"/>
      </w:pPr>
      <w:r>
        <w:t>CASEY Position</w:t>
      </w:r>
    </w:p>
    <w:p>
      <w:r>
        <w:t>CASEY POSITION</w:t>
        <w:br/>
        <w:br/>
        <w:t>CASEY does not judge AI Data Centre Campus on headline progress alone.</w:t>
        <w:br/>
        <w:br/>
        <w:t>The programme should be governed through utility energisation, transformer supply, liquid-cooling readiness and integrated systems testing. Current confidence (66%) is a board-defensibility signal, not an optimism score. Risk posture is Medium-High; approval should be conditional until evidence proves the governing constraint is controlled.</w:t>
        <w:br/>
        <w:br/>
        <w:t>If management cannot evidence this constraint, the programme is not approval-ready; it is only reportable.</w:t>
      </w:r>
    </w:p>
    <w:p>
      <w:pPr>
        <w:pStyle w:val="Heading1"/>
      </w:pPr>
      <w:r>
        <w:t>Traditional Controls vs CASEY</w:t>
      </w:r>
    </w:p>
    <w:p>
      <w:r>
        <w:t>TRADITIONAL CONTROLS VS CASEY</w:t>
        <w:br/>
        <w:br/>
        <w:t>Traditional controls view:</w:t>
        <w:br/>
        <w:t>Shell, core and white-space progress look healthy.</w:t>
        <w:br/>
        <w:br/>
        <w:t>CASEY view:</w:t>
        <w:br/>
        <w:t>Energisation, cooling readiness and IST congestion govern revenue-ready capacity.</w:t>
        <w:br/>
        <w:br/>
        <w:t>Why this matters:</w:t>
        <w:br/>
        <w:t>Traditional reporting can remain green while confidence is already deteriorating. CASEY reads the behaviour underneath the dashboard: evidence maturity, governing constraint exposure, and whether float/reserve are actually usable.</w:t>
      </w:r>
    </w:p>
    <w:p>
      <w:pPr>
        <w:pStyle w:val="Heading1"/>
      </w:pPr>
      <w:r>
        <w:t>Likely Board Attacks</w:t>
      </w:r>
    </w:p>
    <w:p>
      <w:pPr>
        <w:pStyle w:val="ListBullet"/>
      </w:pPr>
      <w:r>
        <w:t>1. What is the true energisation date?</w:t>
      </w:r>
    </w:p>
    <w:p>
      <w:pPr>
        <w:pStyle w:val="ListBullet"/>
      </w:pPr>
      <w:r>
        <w:t>2. Which transformer or switchgear package controls first capacity?</w:t>
      </w:r>
    </w:p>
    <w:p>
      <w:pPr>
        <w:pStyle w:val="ListBullet"/>
      </w:pPr>
      <w:r>
        <w:t>3. Is liquid cooling commissioned or merely installed?</w:t>
      </w:r>
    </w:p>
    <w:p>
      <w:pPr>
        <w:pStyle w:val="ListBullet"/>
      </w:pPr>
      <w:r>
        <w:t>4. Where does IST congestion compress the plan?</w:t>
      </w:r>
    </w:p>
    <w:p>
      <w:pPr>
        <w:pStyle w:val="ListBullet"/>
      </w:pPr>
      <w:r>
        <w:t>5. Does acceleration buy capacity or create rework?</w:t>
      </w:r>
    </w:p>
    <w:p>
      <w:pPr>
        <w:pStyle w:val="Heading1"/>
      </w:pPr>
      <w:r>
        <w:t>What The Board Is Really Deciding</w:t>
      </w:r>
    </w:p>
    <w:p>
      <w:r>
        <w:t>WHAT THE BOARD IS REALLY DECIDING</w:t>
        <w:br/>
        <w:br/>
        <w:t>The board is not simply approving cost and schedule.</w:t>
        <w:br/>
        <w:br/>
        <w:t>The board is accepting:</w:t>
        <w:br/>
        <w:t>- exposure to utility energisation, transformer supply, liquid-cooling readiness and integrated systems testing</w:t>
        <w:br/>
        <w:t>- the current evidence maturity position</w:t>
        <w:br/>
        <w:t>- whether reserve is credible against P80/P90 behaviour</w:t>
        <w:br/>
        <w:t>- whether management can recover if the governing constraint slips</w:t>
        <w:br/>
        <w:br/>
        <w:t>Evidence required before unconditional approval:</w:t>
        <w:br/>
        <w:t>- utility interconnect agreement</w:t>
        <w:br/>
        <w:t>- transformer delivery certainty</w:t>
        <w:br/>
        <w:t>- liquid-cooling commissioning evidence</w:t>
        <w:br/>
        <w:t>- IST sequence</w:t>
        <w:br/>
        <w:t>- energisation acceptance gates</w:t>
        <w:br/>
        <w:br/>
        <w:t>CASEY POSITION</w:t>
        <w:br/>
        <w:t>Approval should be conditional. Confidence improvement requires evidence closure, not a more polished narrative.</w:t>
      </w:r>
    </w:p>
    <w:p>
      <w:pPr>
        <w:pStyle w:val="Heading1"/>
      </w:pPr>
      <w:r>
        <w:t>If This Programme Fails</w:t>
      </w:r>
    </w:p>
    <w:p>
      <w:r>
        <w:t>IF THIS PROGRAMME FAILS</w:t>
        <w:br/>
        <w:br/>
        <w:t>The most likely external explanation will be:</w:t>
        <w:br/>
        <w:t>"power availability and cooling/IST readiness lagged the declared construction position."</w:t>
        <w:br/>
        <w:br/>
        <w:t>The internal explanation will be sharper:</w:t>
        <w:br/>
        <w:t>Management treated reported progress as equivalent to board-defensible readiness.</w:t>
        <w:br/>
        <w:br/>
        <w:t>CASEY WARNING</w:t>
        <w:br/>
        <w:t>The failure mode is behavioural before it is numerical: optimism, weak evidence closure, and late recognition of the governing constraint.</w:t>
      </w:r>
    </w:p>
    <w:p>
      <w:pPr>
        <w:pStyle w:val="Heading1"/>
      </w:pPr>
      <w:r>
        <w:t>Intervention Intelligence</w:t>
      </w:r>
    </w:p>
    <w:p>
      <w:r>
        <w:t>INTERVENTION INTELLIGENCE</w:t>
        <w:br/>
        <w:br/>
        <w:t>The highest-value intervention is not another status pack.</w:t>
        <w:br/>
        <w:br/>
        <w:t>1. Prove utility energisation, transformer supply, liquid-cooling readiness and integrated systems testing with auditable evidence.</w:t>
        <w:br/>
        <w:t>2. Convert the weakest assumption into an owned mitigation with trigger, date, owner and residual exposure.</w:t>
        <w:br/>
        <w:t>3. Re-run P80/P90 after evidence closure, not after narrative revision.</w:t>
        <w:br/>
        <w:br/>
        <w:t>Fastest confidence unlock:</w:t>
        <w:br/>
        <w:t>Close the first missing evidence item: utility interconnect agreement.</w:t>
        <w:br/>
        <w:br/>
        <w:t>CASEY POSITION</w:t>
        <w:br/>
        <w:t>The programme needs targeted evidence closure where confidence is actually governed.</w:t>
      </w:r>
    </w:p>
    <w:p>
      <w:pPr>
        <w:pStyle w:val="Heading1"/>
      </w:pPr>
      <w:r>
        <w:t>Core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Cost P50</w:t>
            </w:r>
          </w:p>
        </w:tc>
        <w:tc>
          <w:tcPr>
            <w:tcW w:type="dxa" w:w="4320"/>
          </w:tcPr>
          <w:p>
            <w:r>
              <w:t>$8.1B</w:t>
            </w:r>
          </w:p>
        </w:tc>
      </w:tr>
      <w:tr>
        <w:tc>
          <w:tcPr>
            <w:tcW w:type="dxa" w:w="4320"/>
          </w:tcPr>
          <w:p>
            <w:r>
              <w:t>Cost Range</w:t>
            </w:r>
          </w:p>
        </w:tc>
        <w:tc>
          <w:tcPr>
            <w:tcW w:type="dxa" w:w="4320"/>
          </w:tcPr>
          <w:p>
            <w:r>
              <w:t>$6.8B - $11.9B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66 months</w:t>
            </w:r>
          </w:p>
        </w:tc>
      </w:tr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Medium-High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66%</w:t>
            </w:r>
          </w:p>
        </w:tc>
      </w:tr>
      <w:tr>
        <w:tc>
          <w:tcPr>
            <w:tcW w:type="dxa" w:w="4320"/>
          </w:tcPr>
          <w:p>
            <w:r>
              <w:t>Sector Ontology</w:t>
            </w:r>
          </w:p>
        </w:tc>
        <w:tc>
          <w:tcPr>
            <w:tcW w:type="dxa" w:w="4320"/>
          </w:tcPr>
          <w:p>
            <w:r>
              <w:t>Digital Infrastructure / Hyperscale Data Centre</w:t>
            </w:r>
          </w:p>
        </w:tc>
      </w:tr>
    </w:tbl>
    <w:p>
      <w:pPr>
        <w:pStyle w:val="Heading1"/>
      </w:pPr>
      <w:r>
        <w:t>Top Risks</w:t>
      </w:r>
    </w:p>
    <w:p>
      <w:pPr>
        <w:pStyle w:val="ListBullet"/>
      </w:pPr>
      <w:r>
        <w:t>R-D01 Grid connection delay — Secure grid agreement, temporary power strategy, early equipment orders</w:t>
      </w:r>
    </w:p>
    <w:p>
      <w:pPr>
        <w:pStyle w:val="ListBullet"/>
      </w:pPr>
      <w:r>
        <w:t>R-002 Market escalation — Early procurement, index-linked allowances, market testing, FX strategy</w:t>
      </w:r>
    </w:p>
    <w:p>
      <w:pPr>
        <w:pStyle w:val="ListBullet"/>
      </w:pPr>
      <w:r>
        <w:t>R-004 Design maturity gap — Design maturity gates, independent review, assumption register</w:t>
      </w:r>
    </w:p>
    <w:p>
      <w:pPr>
        <w:pStyle w:val="ListBullet"/>
      </w:pPr>
      <w:r>
        <w:t>R-001 Scope growth — Freeze scope baseline, change board, value gates, client decision log</w:t>
      </w:r>
    </w:p>
    <w:p>
      <w:pPr>
        <w:pStyle w:val="ListBullet"/>
      </w:pPr>
      <w:r>
        <w:t>R-D02 Cooling system capacity — Thermal modelling, supplier validation, early performance test</w:t>
      </w:r>
    </w:p>
    <w:p>
      <w:pPr>
        <w:pStyle w:val="ListBullet"/>
      </w:pPr>
      <w:r>
        <w:t>R-006 Productivity underperformance — Package productivity controls, daily planning, earned value cadence</w:t>
      </w:r>
    </w:p>
    <w:p>
      <w:pPr>
        <w:pStyle w:val="ListBullet"/>
      </w:pPr>
      <w:r>
        <w:t>R-005 Supply chain delay — Alternate suppliers, early orders, expediting, framework options</w:t>
      </w:r>
    </w:p>
    <w:p>
      <w:pPr>
        <w:pStyle w:val="ListBullet"/>
      </w:pPr>
      <w:r>
        <w:t>R-008 Interface misalignment — Interface control documents, weekly interface board, accountable owners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