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CA8E" w14:textId="692ADCB3" w:rsidR="000A6DCC" w:rsidRDefault="000A6DCC"/>
    <w:p w14:paraId="1066175D" w14:textId="3F137865" w:rsidR="000A6DCC" w:rsidRDefault="000A6DCC"/>
    <w:p w14:paraId="4F1C2D64" w14:textId="106D7B33" w:rsidR="000A6DCC" w:rsidRDefault="001F395E">
      <w:r>
        <w:rPr>
          <w:noProof/>
        </w:rPr>
        <w:drawing>
          <wp:anchor distT="0" distB="0" distL="114300" distR="114300" simplePos="0" relativeHeight="251660288" behindDoc="0" locked="0" layoutInCell="1" allowOverlap="1" wp14:anchorId="21484860" wp14:editId="6BC3955B">
            <wp:simplePos x="0" y="0"/>
            <wp:positionH relativeFrom="margin">
              <wp:posOffset>0</wp:posOffset>
            </wp:positionH>
            <wp:positionV relativeFrom="paragraph">
              <wp:posOffset>21895</wp:posOffset>
            </wp:positionV>
            <wp:extent cx="2777490" cy="234061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340610"/>
                    </a:xfrm>
                    <a:prstGeom prst="rect">
                      <a:avLst/>
                    </a:prstGeom>
                    <a:noFill/>
                    <a:ln>
                      <a:noFill/>
                    </a:ln>
                  </pic:spPr>
                </pic:pic>
              </a:graphicData>
            </a:graphic>
          </wp:anchor>
        </w:drawing>
      </w:r>
    </w:p>
    <w:p w14:paraId="7BE5F1DD" w14:textId="5FC3CED4" w:rsidR="000A6DCC" w:rsidRDefault="000A6DCC"/>
    <w:p w14:paraId="2B110013" w14:textId="531C1071" w:rsidR="000A6DCC" w:rsidRDefault="001F395E">
      <w:r>
        <w:rPr>
          <w:noProof/>
        </w:rPr>
        <w:drawing>
          <wp:anchor distT="0" distB="0" distL="114300" distR="114300" simplePos="0" relativeHeight="251661312" behindDoc="0" locked="0" layoutInCell="1" allowOverlap="1" wp14:anchorId="0FBA3C49" wp14:editId="131CE062">
            <wp:simplePos x="0" y="0"/>
            <wp:positionH relativeFrom="column">
              <wp:posOffset>3607435</wp:posOffset>
            </wp:positionH>
            <wp:positionV relativeFrom="paragraph">
              <wp:posOffset>21260</wp:posOffset>
            </wp:positionV>
            <wp:extent cx="1389380" cy="1389380"/>
            <wp:effectExtent l="0" t="0" r="1270" b="1270"/>
            <wp:wrapNone/>
            <wp:docPr id="6" name="Imagen 6" descr="Ministerio de Transportes Movilidad y Agenda Urbana Independiente - Oso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sterio de Transportes Movilidad y Agenda Urbana Independiente - Osoi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380"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FB67B5" w14:textId="4BBD17BC" w:rsidR="000A6DCC" w:rsidRDefault="000A6DCC"/>
    <w:p w14:paraId="76C91B80" w14:textId="50F14818" w:rsidR="000A6DCC" w:rsidRDefault="000A6DCC"/>
    <w:p w14:paraId="1F3C8BA9" w14:textId="107673BF" w:rsidR="000A6DCC" w:rsidRDefault="000A6DCC"/>
    <w:p w14:paraId="0B132D4D" w14:textId="78744699" w:rsidR="000A6DCC" w:rsidRDefault="000A6DCC"/>
    <w:p w14:paraId="5AE8FC9C" w14:textId="3721A0A7" w:rsidR="001F395E" w:rsidRDefault="001F395E" w:rsidP="001B6C26">
      <w:pPr>
        <w:rPr>
          <w:lang w:val="en-US"/>
        </w:rPr>
      </w:pPr>
    </w:p>
    <w:p w14:paraId="201D0694" w14:textId="1492226D" w:rsidR="001B6C26" w:rsidRDefault="001B6C26" w:rsidP="001B6C26">
      <w:pPr>
        <w:rPr>
          <w:lang w:val="en-US"/>
        </w:rPr>
      </w:pPr>
    </w:p>
    <w:p w14:paraId="453F6E16" w14:textId="77777777" w:rsidR="001B6C26" w:rsidRDefault="001B6C26" w:rsidP="001B6C26">
      <w:pPr>
        <w:rPr>
          <w:lang w:val="en-US"/>
        </w:rPr>
      </w:pPr>
    </w:p>
    <w:p w14:paraId="3E5E0715" w14:textId="77777777" w:rsidR="001F395E" w:rsidRDefault="001F395E" w:rsidP="001B6C26">
      <w:pPr>
        <w:rPr>
          <w:lang w:val="en-US"/>
        </w:rPr>
      </w:pPr>
    </w:p>
    <w:p w14:paraId="6AC15B08" w14:textId="77777777" w:rsidR="001F395E" w:rsidRDefault="001F395E" w:rsidP="001B6C26">
      <w:pPr>
        <w:rPr>
          <w:lang w:val="en-US"/>
        </w:rPr>
      </w:pPr>
    </w:p>
    <w:p w14:paraId="7758E16E" w14:textId="678BE617" w:rsidR="000A6DCC" w:rsidRPr="000A6DCC" w:rsidRDefault="002A7541" w:rsidP="00BC47ED">
      <w:pPr>
        <w:pStyle w:val="Ttulo"/>
      </w:pPr>
      <w:bookmarkStart w:id="0" w:name="_Toc120996309"/>
      <w:r>
        <w:t xml:space="preserve">Effects of </w:t>
      </w:r>
      <w:r w:rsidR="00613D17">
        <w:t xml:space="preserve">de-escalation </w:t>
      </w:r>
      <w:r w:rsidR="00BC47ED">
        <w:t>phases</w:t>
      </w:r>
      <w:r w:rsidR="000A6DCC" w:rsidRPr="000A6DCC">
        <w:t xml:space="preserve"> o</w:t>
      </w:r>
      <w:r w:rsidR="00613D17">
        <w:t>n</w:t>
      </w:r>
      <w:r w:rsidR="000A6DCC" w:rsidRPr="000A6DCC">
        <w:t xml:space="preserve"> </w:t>
      </w:r>
      <w:r w:rsidR="001C130D">
        <w:t xml:space="preserve">inter-province </w:t>
      </w:r>
      <w:r w:rsidR="000A6DCC" w:rsidRPr="000A6DCC">
        <w:t xml:space="preserve">mobility </w:t>
      </w:r>
      <w:r w:rsidR="000A6DCC" w:rsidRPr="00C94025">
        <w:t>patterns</w:t>
      </w:r>
      <w:r w:rsidR="00A562AD">
        <w:t xml:space="preserve"> during June 2020</w:t>
      </w:r>
      <w:r w:rsidR="000A6DCC">
        <w:t xml:space="preserve"> </w:t>
      </w:r>
      <w:r w:rsidR="000A6DCC" w:rsidRPr="000A6DCC">
        <w:t>i</w:t>
      </w:r>
      <w:r w:rsidR="000A6DCC">
        <w:t xml:space="preserve">n </w:t>
      </w:r>
      <w:r w:rsidR="000A6DCC" w:rsidRPr="0070110C">
        <w:t>Spain</w:t>
      </w:r>
      <w:r w:rsidR="000A6DCC">
        <w:t xml:space="preserve"> </w:t>
      </w:r>
      <w:r w:rsidR="00A562AD">
        <w:t>based on mobile phone data</w:t>
      </w:r>
      <w:bookmarkEnd w:id="0"/>
    </w:p>
    <w:p w14:paraId="7C1E9CFC" w14:textId="0539ECF5" w:rsidR="00BC5653" w:rsidRDefault="00BC5653">
      <w:pPr>
        <w:rPr>
          <w:lang w:val="en-US"/>
        </w:rPr>
      </w:pPr>
    </w:p>
    <w:p w14:paraId="0663E996" w14:textId="4204DCC9" w:rsidR="00A562AD" w:rsidRDefault="00A562AD">
      <w:pPr>
        <w:rPr>
          <w:lang w:val="en-US"/>
        </w:rPr>
      </w:pPr>
    </w:p>
    <w:p w14:paraId="4F96D4D3" w14:textId="686F7944" w:rsidR="00A562AD" w:rsidRDefault="00A562AD">
      <w:pPr>
        <w:rPr>
          <w:lang w:val="en-US"/>
        </w:rPr>
      </w:pPr>
    </w:p>
    <w:p w14:paraId="178C2502" w14:textId="76748881" w:rsidR="00A562AD" w:rsidRDefault="00A562AD">
      <w:pPr>
        <w:rPr>
          <w:lang w:val="en-US"/>
        </w:rPr>
      </w:pPr>
    </w:p>
    <w:p w14:paraId="45FF06D7" w14:textId="77777777" w:rsidR="00CD1AAD" w:rsidRDefault="00CD1AAD" w:rsidP="00CD1AAD">
      <w:pPr>
        <w:spacing w:after="60" w:line="240" w:lineRule="auto"/>
        <w:rPr>
          <w:u w:val="single"/>
          <w:lang w:val="en-US"/>
        </w:rPr>
      </w:pPr>
    </w:p>
    <w:p w14:paraId="0A522392" w14:textId="3A255A1E" w:rsidR="00CD1AAD" w:rsidRPr="00CD1AAD" w:rsidRDefault="00CD1AAD" w:rsidP="00CD1AAD">
      <w:pPr>
        <w:spacing w:after="60" w:line="240" w:lineRule="auto"/>
        <w:rPr>
          <w:b/>
          <w:bCs/>
          <w:lang w:val="en-US"/>
        </w:rPr>
      </w:pPr>
      <w:r w:rsidRPr="00CD1AAD">
        <w:rPr>
          <w:b/>
          <w:bCs/>
          <w:lang w:val="en-US"/>
        </w:rPr>
        <w:t>Aspiring Data Scientist at Nommon Solutions and Technologies</w:t>
      </w:r>
    </w:p>
    <w:p w14:paraId="2DBED1F5" w14:textId="32AC5197" w:rsidR="00A562AD" w:rsidRPr="00CD1AAD" w:rsidRDefault="00CD1AAD" w:rsidP="00CD1AAD">
      <w:pPr>
        <w:spacing w:after="60" w:line="240" w:lineRule="auto"/>
        <w:rPr>
          <w:sz w:val="28"/>
          <w:szCs w:val="28"/>
          <w:lang w:val="en-US"/>
        </w:rPr>
      </w:pPr>
      <w:r w:rsidRPr="00CD1AAD">
        <w:rPr>
          <w:sz w:val="28"/>
          <w:szCs w:val="28"/>
          <w:lang w:val="en-US"/>
        </w:rPr>
        <w:t>Jaime Pizarroso Gonzalo</w:t>
      </w:r>
    </w:p>
    <w:p w14:paraId="0D2CED01" w14:textId="0F8CF551" w:rsidR="00A562AD" w:rsidRDefault="00A562AD">
      <w:pPr>
        <w:rPr>
          <w:lang w:val="en-US"/>
        </w:rPr>
      </w:pPr>
    </w:p>
    <w:p w14:paraId="2DABCF83" w14:textId="7897B81F" w:rsidR="00A562AD" w:rsidRDefault="00A562AD">
      <w:pPr>
        <w:rPr>
          <w:lang w:val="en-US"/>
        </w:rPr>
      </w:pPr>
    </w:p>
    <w:p w14:paraId="69B1487D" w14:textId="4456CA77" w:rsidR="00A562AD" w:rsidRDefault="00A562AD">
      <w:pPr>
        <w:rPr>
          <w:lang w:val="en-US"/>
        </w:rPr>
      </w:pPr>
    </w:p>
    <w:p w14:paraId="63B701F4" w14:textId="11C83F79" w:rsidR="00CD1AAD" w:rsidRDefault="00CD1AAD">
      <w:pPr>
        <w:rPr>
          <w:lang w:val="en-US"/>
        </w:rPr>
      </w:pPr>
    </w:p>
    <w:p w14:paraId="7EB1275E" w14:textId="00DD2C07" w:rsidR="007D67F7" w:rsidRDefault="00A562AD">
      <w:pPr>
        <w:rPr>
          <w:lang w:val="en-US"/>
        </w:rPr>
      </w:pPr>
      <w:r w:rsidRPr="00A562AD">
        <w:rPr>
          <w:sz w:val="28"/>
          <w:szCs w:val="28"/>
          <w:lang w:val="en-US"/>
        </w:rPr>
        <w:t>December 2022</w:t>
      </w:r>
      <w:r>
        <w:rPr>
          <w:lang w:val="en-US"/>
        </w:rPr>
        <w:br w:type="page"/>
      </w:r>
    </w:p>
    <w:p w14:paraId="3FEECBD4" w14:textId="719A7E18" w:rsidR="000D20C6" w:rsidRDefault="000D20C6">
      <w:pPr>
        <w:rPr>
          <w:lang w:val="en-US"/>
        </w:rPr>
      </w:pPr>
      <w:r>
        <w:rPr>
          <w:noProof/>
        </w:rPr>
        <w:lastRenderedPageBreak/>
        <mc:AlternateContent>
          <mc:Choice Requires="wps">
            <w:drawing>
              <wp:anchor distT="45720" distB="45720" distL="114300" distR="114300" simplePos="0" relativeHeight="251663360" behindDoc="0" locked="0" layoutInCell="1" allowOverlap="1" wp14:anchorId="7E349EF8" wp14:editId="13502D7E">
                <wp:simplePos x="0" y="0"/>
                <wp:positionH relativeFrom="margin">
                  <wp:posOffset>-347676</wp:posOffset>
                </wp:positionH>
                <wp:positionV relativeFrom="paragraph">
                  <wp:posOffset>95276</wp:posOffset>
                </wp:positionV>
                <wp:extent cx="5809666"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66" cy="1404620"/>
                        </a:xfrm>
                        <a:prstGeom prst="rect">
                          <a:avLst/>
                        </a:prstGeom>
                        <a:noFill/>
                        <a:ln w="9525">
                          <a:noFill/>
                          <a:miter lim="800000"/>
                          <a:headEnd/>
                          <a:tailEnd/>
                        </a:ln>
                      </wps:spPr>
                      <wps:txbx>
                        <w:txbxContent>
                          <w:p w14:paraId="340D64B4" w14:textId="12C137CE" w:rsidR="000D20C6" w:rsidRDefault="0070110C" w:rsidP="000D20C6">
                            <w:pPr>
                              <w:pStyle w:val="Titulosinlevel"/>
                            </w:pPr>
                            <w:bookmarkStart w:id="1" w:name="_Toc120996310"/>
                            <w:r>
                              <w:t>Tabla de contenidos</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349EF8" id="_x0000_t202" coordsize="21600,21600" o:spt="202" path="m,l,21600r21600,l21600,xe">
                <v:stroke joinstyle="miter"/>
                <v:path gradientshapeok="t" o:connecttype="rect"/>
              </v:shapetype>
              <v:shape id="Cuadro de texto 2" o:spid="_x0000_s1026" type="#_x0000_t202" style="position:absolute;left:0;text-align:left;margin-left:-27.4pt;margin-top:7.5pt;width:457.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jI+wEAAM4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" filled="f" stroked="f">
                <v:textbox style="mso-fit-shape-to-text:t">
                  <w:txbxContent>
                    <w:p w14:paraId="340D64B4" w14:textId="12C137CE" w:rsidR="000D20C6" w:rsidRDefault="0070110C" w:rsidP="000D20C6">
                      <w:pPr>
                        <w:pStyle w:val="Titulosinlevel"/>
                      </w:pPr>
                      <w:bookmarkStart w:id="2" w:name="_Toc120996310"/>
                      <w:r>
                        <w:t>Tabla de contenidos</w:t>
                      </w:r>
                      <w:bookmarkEnd w:id="2"/>
                    </w:p>
                  </w:txbxContent>
                </v:textbox>
                <w10:wrap anchorx="margin"/>
              </v:shape>
            </w:pict>
          </mc:Fallback>
        </mc:AlternateContent>
      </w:r>
    </w:p>
    <w:p w14:paraId="7AF95912" w14:textId="1FD2B5F0" w:rsidR="0070110C" w:rsidRDefault="0070110C" w:rsidP="0070110C"/>
    <w:sdt>
      <w:sdtPr>
        <w:id w:val="-508133997"/>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6DD53AC1" w14:textId="5989B672" w:rsidR="007D67F7" w:rsidRDefault="007D67F7" w:rsidP="0070110C">
          <w:pPr>
            <w:pStyle w:val="TtuloTDC"/>
            <w:numPr>
              <w:ilvl w:val="0"/>
              <w:numId w:val="0"/>
            </w:numPr>
          </w:pPr>
        </w:p>
        <w:p w14:paraId="3450FC34" w14:textId="689B70D3" w:rsidR="00E26CBF" w:rsidRDefault="007D67F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0996311" w:history="1">
            <w:r w:rsidR="00E26CBF" w:rsidRPr="009B4595">
              <w:rPr>
                <w:rStyle w:val="Hipervnculo"/>
                <w:noProof/>
                <w:lang w:val="en-US"/>
              </w:rPr>
              <w:t>Executive summary</w:t>
            </w:r>
            <w:r w:rsidR="00E26CBF">
              <w:rPr>
                <w:noProof/>
                <w:webHidden/>
              </w:rPr>
              <w:tab/>
            </w:r>
            <w:r w:rsidR="00E26CBF">
              <w:rPr>
                <w:noProof/>
                <w:webHidden/>
              </w:rPr>
              <w:fldChar w:fldCharType="begin"/>
            </w:r>
            <w:r w:rsidR="00E26CBF">
              <w:rPr>
                <w:noProof/>
                <w:webHidden/>
              </w:rPr>
              <w:instrText xml:space="preserve"> PAGEREF _Toc120996311 \h </w:instrText>
            </w:r>
            <w:r w:rsidR="00E26CBF">
              <w:rPr>
                <w:noProof/>
                <w:webHidden/>
              </w:rPr>
            </w:r>
            <w:r w:rsidR="00E26CBF">
              <w:rPr>
                <w:noProof/>
                <w:webHidden/>
              </w:rPr>
              <w:fldChar w:fldCharType="separate"/>
            </w:r>
            <w:r w:rsidR="006F4A66">
              <w:rPr>
                <w:noProof/>
                <w:webHidden/>
              </w:rPr>
              <w:t>3</w:t>
            </w:r>
            <w:r w:rsidR="00E26CBF">
              <w:rPr>
                <w:noProof/>
                <w:webHidden/>
              </w:rPr>
              <w:fldChar w:fldCharType="end"/>
            </w:r>
          </w:hyperlink>
        </w:p>
        <w:p w14:paraId="21E82EDC" w14:textId="4E9D6429" w:rsidR="00E26CBF" w:rsidRDefault="00E26CBF">
          <w:pPr>
            <w:pStyle w:val="TDC1"/>
            <w:tabs>
              <w:tab w:val="left" w:pos="440"/>
              <w:tab w:val="right" w:leader="dot" w:pos="8494"/>
            </w:tabs>
            <w:rPr>
              <w:rFonts w:eastAsiaTheme="minorEastAsia"/>
              <w:noProof/>
              <w:lang w:eastAsia="es-ES"/>
            </w:rPr>
          </w:pPr>
          <w:hyperlink w:anchor="_Toc120996312" w:history="1">
            <w:r w:rsidRPr="009B4595">
              <w:rPr>
                <w:rStyle w:val="Hipervnculo"/>
                <w:noProof/>
                <w:lang w:val="en-US"/>
              </w:rPr>
              <w:t>1</w:t>
            </w:r>
            <w:r>
              <w:rPr>
                <w:rFonts w:eastAsiaTheme="minorEastAsia"/>
                <w:noProof/>
                <w:lang w:eastAsia="es-ES"/>
              </w:rPr>
              <w:tab/>
            </w:r>
            <w:r w:rsidRPr="009B4595">
              <w:rPr>
                <w:rStyle w:val="Hipervnculo"/>
                <w:noProof/>
                <w:lang w:val="en-US"/>
              </w:rPr>
              <w:t>Introduction</w:t>
            </w:r>
            <w:r>
              <w:rPr>
                <w:noProof/>
                <w:webHidden/>
              </w:rPr>
              <w:tab/>
            </w:r>
            <w:r>
              <w:rPr>
                <w:noProof/>
                <w:webHidden/>
              </w:rPr>
              <w:fldChar w:fldCharType="begin"/>
            </w:r>
            <w:r>
              <w:rPr>
                <w:noProof/>
                <w:webHidden/>
              </w:rPr>
              <w:instrText xml:space="preserve"> PAGEREF _Toc120996312 \h </w:instrText>
            </w:r>
            <w:r>
              <w:rPr>
                <w:noProof/>
                <w:webHidden/>
              </w:rPr>
            </w:r>
            <w:r>
              <w:rPr>
                <w:noProof/>
                <w:webHidden/>
              </w:rPr>
              <w:fldChar w:fldCharType="separate"/>
            </w:r>
            <w:r w:rsidR="006F4A66">
              <w:rPr>
                <w:noProof/>
                <w:webHidden/>
              </w:rPr>
              <w:t>4</w:t>
            </w:r>
            <w:r>
              <w:rPr>
                <w:noProof/>
                <w:webHidden/>
              </w:rPr>
              <w:fldChar w:fldCharType="end"/>
            </w:r>
          </w:hyperlink>
        </w:p>
        <w:p w14:paraId="635A6AD6" w14:textId="4CB7761F" w:rsidR="00E26CBF" w:rsidRDefault="00E26CBF">
          <w:pPr>
            <w:pStyle w:val="TDC2"/>
            <w:tabs>
              <w:tab w:val="left" w:pos="880"/>
              <w:tab w:val="right" w:leader="dot" w:pos="8494"/>
            </w:tabs>
            <w:rPr>
              <w:rFonts w:eastAsiaTheme="minorEastAsia"/>
              <w:noProof/>
              <w:lang w:eastAsia="es-ES"/>
            </w:rPr>
          </w:pPr>
          <w:hyperlink w:anchor="_Toc120996313" w:history="1">
            <w:r w:rsidRPr="009B4595">
              <w:rPr>
                <w:rStyle w:val="Hipervnculo"/>
                <w:noProof/>
              </w:rPr>
              <w:t>1.1</w:t>
            </w:r>
            <w:r>
              <w:rPr>
                <w:rFonts w:eastAsiaTheme="minorEastAsia"/>
                <w:noProof/>
                <w:lang w:eastAsia="es-ES"/>
              </w:rPr>
              <w:tab/>
            </w:r>
            <w:r w:rsidRPr="009B4595">
              <w:rPr>
                <w:rStyle w:val="Hipervnculo"/>
                <w:noProof/>
              </w:rPr>
              <w:t>Scope and Objectives</w:t>
            </w:r>
            <w:r>
              <w:rPr>
                <w:noProof/>
                <w:webHidden/>
              </w:rPr>
              <w:tab/>
            </w:r>
            <w:r>
              <w:rPr>
                <w:noProof/>
                <w:webHidden/>
              </w:rPr>
              <w:fldChar w:fldCharType="begin"/>
            </w:r>
            <w:r>
              <w:rPr>
                <w:noProof/>
                <w:webHidden/>
              </w:rPr>
              <w:instrText xml:space="preserve"> PAGEREF _Toc120996313 \h </w:instrText>
            </w:r>
            <w:r>
              <w:rPr>
                <w:noProof/>
                <w:webHidden/>
              </w:rPr>
            </w:r>
            <w:r>
              <w:rPr>
                <w:noProof/>
                <w:webHidden/>
              </w:rPr>
              <w:fldChar w:fldCharType="separate"/>
            </w:r>
            <w:r w:rsidR="006F4A66">
              <w:rPr>
                <w:noProof/>
                <w:webHidden/>
              </w:rPr>
              <w:t>4</w:t>
            </w:r>
            <w:r>
              <w:rPr>
                <w:noProof/>
                <w:webHidden/>
              </w:rPr>
              <w:fldChar w:fldCharType="end"/>
            </w:r>
          </w:hyperlink>
        </w:p>
        <w:p w14:paraId="1EC1876F" w14:textId="4260F541" w:rsidR="00E26CBF" w:rsidRDefault="00E26CBF">
          <w:pPr>
            <w:pStyle w:val="TDC2"/>
            <w:tabs>
              <w:tab w:val="left" w:pos="880"/>
              <w:tab w:val="right" w:leader="dot" w:pos="8494"/>
            </w:tabs>
            <w:rPr>
              <w:rFonts w:eastAsiaTheme="minorEastAsia"/>
              <w:noProof/>
              <w:lang w:eastAsia="es-ES"/>
            </w:rPr>
          </w:pPr>
          <w:hyperlink w:anchor="_Toc120996314" w:history="1">
            <w:r w:rsidRPr="009B4595">
              <w:rPr>
                <w:rStyle w:val="Hipervnculo"/>
                <w:noProof/>
              </w:rPr>
              <w:t>1.2</w:t>
            </w:r>
            <w:r>
              <w:rPr>
                <w:rFonts w:eastAsiaTheme="minorEastAsia"/>
                <w:noProof/>
                <w:lang w:eastAsia="es-ES"/>
              </w:rPr>
              <w:tab/>
            </w:r>
            <w:r w:rsidRPr="009B4595">
              <w:rPr>
                <w:rStyle w:val="Hipervnculo"/>
                <w:noProof/>
              </w:rPr>
              <w:t>Structure of the document</w:t>
            </w:r>
            <w:r>
              <w:rPr>
                <w:noProof/>
                <w:webHidden/>
              </w:rPr>
              <w:tab/>
            </w:r>
            <w:r>
              <w:rPr>
                <w:noProof/>
                <w:webHidden/>
              </w:rPr>
              <w:fldChar w:fldCharType="begin"/>
            </w:r>
            <w:r>
              <w:rPr>
                <w:noProof/>
                <w:webHidden/>
              </w:rPr>
              <w:instrText xml:space="preserve"> PAGEREF _Toc120996314 \h </w:instrText>
            </w:r>
            <w:r>
              <w:rPr>
                <w:noProof/>
                <w:webHidden/>
              </w:rPr>
            </w:r>
            <w:r>
              <w:rPr>
                <w:noProof/>
                <w:webHidden/>
              </w:rPr>
              <w:fldChar w:fldCharType="separate"/>
            </w:r>
            <w:r w:rsidR="006F4A66">
              <w:rPr>
                <w:noProof/>
                <w:webHidden/>
              </w:rPr>
              <w:t>4</w:t>
            </w:r>
            <w:r>
              <w:rPr>
                <w:noProof/>
                <w:webHidden/>
              </w:rPr>
              <w:fldChar w:fldCharType="end"/>
            </w:r>
          </w:hyperlink>
        </w:p>
        <w:p w14:paraId="01757230" w14:textId="4A8AAE24" w:rsidR="00E26CBF" w:rsidRDefault="00E26CBF">
          <w:pPr>
            <w:pStyle w:val="TDC2"/>
            <w:tabs>
              <w:tab w:val="left" w:pos="880"/>
              <w:tab w:val="right" w:leader="dot" w:pos="8494"/>
            </w:tabs>
            <w:rPr>
              <w:rFonts w:eastAsiaTheme="minorEastAsia"/>
              <w:noProof/>
              <w:lang w:eastAsia="es-ES"/>
            </w:rPr>
          </w:pPr>
          <w:hyperlink w:anchor="_Toc120996315" w:history="1">
            <w:r w:rsidRPr="009B4595">
              <w:rPr>
                <w:rStyle w:val="Hipervnculo"/>
                <w:noProof/>
              </w:rPr>
              <w:t>1.3</w:t>
            </w:r>
            <w:r>
              <w:rPr>
                <w:rFonts w:eastAsiaTheme="minorEastAsia"/>
                <w:noProof/>
                <w:lang w:eastAsia="es-ES"/>
              </w:rPr>
              <w:tab/>
            </w:r>
            <w:r w:rsidRPr="009B4595">
              <w:rPr>
                <w:rStyle w:val="Hipervnculo"/>
                <w:noProof/>
              </w:rPr>
              <w:t>Glossary of Terms</w:t>
            </w:r>
            <w:r>
              <w:rPr>
                <w:noProof/>
                <w:webHidden/>
              </w:rPr>
              <w:tab/>
            </w:r>
            <w:r>
              <w:rPr>
                <w:noProof/>
                <w:webHidden/>
              </w:rPr>
              <w:fldChar w:fldCharType="begin"/>
            </w:r>
            <w:r>
              <w:rPr>
                <w:noProof/>
                <w:webHidden/>
              </w:rPr>
              <w:instrText xml:space="preserve"> PAGEREF _Toc120996315 \h </w:instrText>
            </w:r>
            <w:r>
              <w:rPr>
                <w:noProof/>
                <w:webHidden/>
              </w:rPr>
            </w:r>
            <w:r>
              <w:rPr>
                <w:noProof/>
                <w:webHidden/>
              </w:rPr>
              <w:fldChar w:fldCharType="separate"/>
            </w:r>
            <w:r w:rsidR="006F4A66">
              <w:rPr>
                <w:noProof/>
                <w:webHidden/>
              </w:rPr>
              <w:t>4</w:t>
            </w:r>
            <w:r>
              <w:rPr>
                <w:noProof/>
                <w:webHidden/>
              </w:rPr>
              <w:fldChar w:fldCharType="end"/>
            </w:r>
          </w:hyperlink>
        </w:p>
        <w:p w14:paraId="11AA4C25" w14:textId="60EA3237" w:rsidR="00E26CBF" w:rsidRDefault="00E26CBF">
          <w:pPr>
            <w:pStyle w:val="TDC2"/>
            <w:tabs>
              <w:tab w:val="left" w:pos="880"/>
              <w:tab w:val="right" w:leader="dot" w:pos="8494"/>
            </w:tabs>
            <w:rPr>
              <w:rFonts w:eastAsiaTheme="minorEastAsia"/>
              <w:noProof/>
              <w:lang w:eastAsia="es-ES"/>
            </w:rPr>
          </w:pPr>
          <w:hyperlink w:anchor="_Toc120996316" w:history="1">
            <w:r w:rsidRPr="009B4595">
              <w:rPr>
                <w:rStyle w:val="Hipervnculo"/>
                <w:noProof/>
              </w:rPr>
              <w:t>1.4</w:t>
            </w:r>
            <w:r>
              <w:rPr>
                <w:rFonts w:eastAsiaTheme="minorEastAsia"/>
                <w:noProof/>
                <w:lang w:eastAsia="es-ES"/>
              </w:rPr>
              <w:tab/>
            </w:r>
            <w:r w:rsidRPr="009B4595">
              <w:rPr>
                <w:rStyle w:val="Hipervnculo"/>
                <w:noProof/>
              </w:rPr>
              <w:t>Acronyms and Abbreviations</w:t>
            </w:r>
            <w:r>
              <w:rPr>
                <w:noProof/>
                <w:webHidden/>
              </w:rPr>
              <w:tab/>
            </w:r>
            <w:r>
              <w:rPr>
                <w:noProof/>
                <w:webHidden/>
              </w:rPr>
              <w:fldChar w:fldCharType="begin"/>
            </w:r>
            <w:r>
              <w:rPr>
                <w:noProof/>
                <w:webHidden/>
              </w:rPr>
              <w:instrText xml:space="preserve"> PAGEREF _Toc120996316 \h </w:instrText>
            </w:r>
            <w:r>
              <w:rPr>
                <w:noProof/>
                <w:webHidden/>
              </w:rPr>
            </w:r>
            <w:r>
              <w:rPr>
                <w:noProof/>
                <w:webHidden/>
              </w:rPr>
              <w:fldChar w:fldCharType="separate"/>
            </w:r>
            <w:r w:rsidR="006F4A66">
              <w:rPr>
                <w:noProof/>
                <w:webHidden/>
              </w:rPr>
              <w:t>4</w:t>
            </w:r>
            <w:r>
              <w:rPr>
                <w:noProof/>
                <w:webHidden/>
              </w:rPr>
              <w:fldChar w:fldCharType="end"/>
            </w:r>
          </w:hyperlink>
        </w:p>
        <w:p w14:paraId="4D37DD77" w14:textId="61AE9414" w:rsidR="00E26CBF" w:rsidRDefault="00E26CBF">
          <w:pPr>
            <w:pStyle w:val="TDC1"/>
            <w:tabs>
              <w:tab w:val="left" w:pos="440"/>
              <w:tab w:val="right" w:leader="dot" w:pos="8494"/>
            </w:tabs>
            <w:rPr>
              <w:rFonts w:eastAsiaTheme="minorEastAsia"/>
              <w:noProof/>
              <w:lang w:eastAsia="es-ES"/>
            </w:rPr>
          </w:pPr>
          <w:hyperlink w:anchor="_Toc120996317" w:history="1">
            <w:r w:rsidRPr="009B4595">
              <w:rPr>
                <w:rStyle w:val="Hipervnculo"/>
                <w:noProof/>
                <w:lang w:val="en-US"/>
              </w:rPr>
              <w:t>2</w:t>
            </w:r>
            <w:r>
              <w:rPr>
                <w:rFonts w:eastAsiaTheme="minorEastAsia"/>
                <w:noProof/>
                <w:lang w:eastAsia="es-ES"/>
              </w:rPr>
              <w:tab/>
            </w:r>
            <w:r w:rsidRPr="009B4595">
              <w:rPr>
                <w:rStyle w:val="Hipervnculo"/>
                <w:noProof/>
                <w:lang w:val="en-US"/>
              </w:rPr>
              <w:t>Methodology</w:t>
            </w:r>
            <w:r>
              <w:rPr>
                <w:noProof/>
                <w:webHidden/>
              </w:rPr>
              <w:tab/>
            </w:r>
            <w:r>
              <w:rPr>
                <w:noProof/>
                <w:webHidden/>
              </w:rPr>
              <w:fldChar w:fldCharType="begin"/>
            </w:r>
            <w:r>
              <w:rPr>
                <w:noProof/>
                <w:webHidden/>
              </w:rPr>
              <w:instrText xml:space="preserve"> PAGEREF _Toc120996317 \h </w:instrText>
            </w:r>
            <w:r>
              <w:rPr>
                <w:noProof/>
                <w:webHidden/>
              </w:rPr>
            </w:r>
            <w:r>
              <w:rPr>
                <w:noProof/>
                <w:webHidden/>
              </w:rPr>
              <w:fldChar w:fldCharType="separate"/>
            </w:r>
            <w:r w:rsidR="006F4A66">
              <w:rPr>
                <w:noProof/>
                <w:webHidden/>
              </w:rPr>
              <w:t>4</w:t>
            </w:r>
            <w:r>
              <w:rPr>
                <w:noProof/>
                <w:webHidden/>
              </w:rPr>
              <w:fldChar w:fldCharType="end"/>
            </w:r>
          </w:hyperlink>
        </w:p>
        <w:p w14:paraId="73380225" w14:textId="4D1F524E" w:rsidR="00E26CBF" w:rsidRDefault="00E26CBF">
          <w:pPr>
            <w:pStyle w:val="TDC2"/>
            <w:tabs>
              <w:tab w:val="left" w:pos="880"/>
              <w:tab w:val="right" w:leader="dot" w:pos="8494"/>
            </w:tabs>
            <w:rPr>
              <w:rFonts w:eastAsiaTheme="minorEastAsia"/>
              <w:noProof/>
              <w:lang w:eastAsia="es-ES"/>
            </w:rPr>
          </w:pPr>
          <w:hyperlink w:anchor="_Toc120996318" w:history="1">
            <w:r w:rsidRPr="009B4595">
              <w:rPr>
                <w:rStyle w:val="Hipervnculo"/>
                <w:noProof/>
                <w:lang w:val="en-US"/>
              </w:rPr>
              <w:t>2.1</w:t>
            </w:r>
            <w:r>
              <w:rPr>
                <w:rFonts w:eastAsiaTheme="minorEastAsia"/>
                <w:noProof/>
                <w:lang w:eastAsia="es-ES"/>
              </w:rPr>
              <w:tab/>
            </w:r>
            <w:r w:rsidRPr="009B4595">
              <w:rPr>
                <w:rStyle w:val="Hipervnculo"/>
                <w:noProof/>
                <w:lang w:val="en-US"/>
              </w:rPr>
              <w:t>Data extraction</w:t>
            </w:r>
            <w:r>
              <w:rPr>
                <w:noProof/>
                <w:webHidden/>
              </w:rPr>
              <w:tab/>
            </w:r>
            <w:r>
              <w:rPr>
                <w:noProof/>
                <w:webHidden/>
              </w:rPr>
              <w:fldChar w:fldCharType="begin"/>
            </w:r>
            <w:r>
              <w:rPr>
                <w:noProof/>
                <w:webHidden/>
              </w:rPr>
              <w:instrText xml:space="preserve"> PAGEREF _Toc120996318 \h </w:instrText>
            </w:r>
            <w:r>
              <w:rPr>
                <w:noProof/>
                <w:webHidden/>
              </w:rPr>
            </w:r>
            <w:r>
              <w:rPr>
                <w:noProof/>
                <w:webHidden/>
              </w:rPr>
              <w:fldChar w:fldCharType="separate"/>
            </w:r>
            <w:r w:rsidR="006F4A66">
              <w:rPr>
                <w:noProof/>
                <w:webHidden/>
              </w:rPr>
              <w:t>4</w:t>
            </w:r>
            <w:r>
              <w:rPr>
                <w:noProof/>
                <w:webHidden/>
              </w:rPr>
              <w:fldChar w:fldCharType="end"/>
            </w:r>
          </w:hyperlink>
        </w:p>
        <w:p w14:paraId="46B73AC7" w14:textId="73EE5038" w:rsidR="00E26CBF" w:rsidRDefault="00E26CBF">
          <w:pPr>
            <w:pStyle w:val="TDC2"/>
            <w:tabs>
              <w:tab w:val="left" w:pos="880"/>
              <w:tab w:val="right" w:leader="dot" w:pos="8494"/>
            </w:tabs>
            <w:rPr>
              <w:rFonts w:eastAsiaTheme="minorEastAsia"/>
              <w:noProof/>
              <w:lang w:eastAsia="es-ES"/>
            </w:rPr>
          </w:pPr>
          <w:hyperlink w:anchor="_Toc120996319" w:history="1">
            <w:r w:rsidRPr="009B4595">
              <w:rPr>
                <w:rStyle w:val="Hipervnculo"/>
                <w:noProof/>
                <w:lang w:val="en-US"/>
              </w:rPr>
              <w:t>2.2</w:t>
            </w:r>
            <w:r>
              <w:rPr>
                <w:rFonts w:eastAsiaTheme="minorEastAsia"/>
                <w:noProof/>
                <w:lang w:eastAsia="es-ES"/>
              </w:rPr>
              <w:tab/>
            </w:r>
            <w:r w:rsidRPr="009B4595">
              <w:rPr>
                <w:rStyle w:val="Hipervnculo"/>
                <w:noProof/>
                <w:lang w:val="en-US"/>
              </w:rPr>
              <w:t>Preprocessing and data cleaning</w:t>
            </w:r>
            <w:r>
              <w:rPr>
                <w:noProof/>
                <w:webHidden/>
              </w:rPr>
              <w:tab/>
            </w:r>
            <w:r>
              <w:rPr>
                <w:noProof/>
                <w:webHidden/>
              </w:rPr>
              <w:fldChar w:fldCharType="begin"/>
            </w:r>
            <w:r>
              <w:rPr>
                <w:noProof/>
                <w:webHidden/>
              </w:rPr>
              <w:instrText xml:space="preserve"> PAGEREF _Toc120996319 \h </w:instrText>
            </w:r>
            <w:r>
              <w:rPr>
                <w:noProof/>
                <w:webHidden/>
              </w:rPr>
            </w:r>
            <w:r>
              <w:rPr>
                <w:noProof/>
                <w:webHidden/>
              </w:rPr>
              <w:fldChar w:fldCharType="separate"/>
            </w:r>
            <w:r w:rsidR="006F4A66">
              <w:rPr>
                <w:noProof/>
                <w:webHidden/>
              </w:rPr>
              <w:t>4</w:t>
            </w:r>
            <w:r>
              <w:rPr>
                <w:noProof/>
                <w:webHidden/>
              </w:rPr>
              <w:fldChar w:fldCharType="end"/>
            </w:r>
          </w:hyperlink>
        </w:p>
        <w:p w14:paraId="283BFED8" w14:textId="7E56CF83" w:rsidR="007D67F7" w:rsidRDefault="007D67F7">
          <w:r>
            <w:rPr>
              <w:b/>
              <w:bCs/>
            </w:rPr>
            <w:fldChar w:fldCharType="end"/>
          </w:r>
        </w:p>
      </w:sdtContent>
    </w:sdt>
    <w:p w14:paraId="2A428638" w14:textId="42A687C0" w:rsidR="000A4CC7" w:rsidRPr="00EC0BFF" w:rsidRDefault="000A4CC7" w:rsidP="005567D5">
      <w:pPr>
        <w:rPr>
          <w:lang w:val="en-US"/>
        </w:rPr>
      </w:pPr>
      <w:r>
        <w:rPr>
          <w:lang w:val="en-US"/>
        </w:rPr>
        <w:br w:type="page"/>
      </w:r>
    </w:p>
    <w:p w14:paraId="4E122363" w14:textId="3F4DE477" w:rsidR="00A562AD" w:rsidRDefault="00C94025" w:rsidP="0070110C">
      <w:pPr>
        <w:pStyle w:val="Ttulo1"/>
        <w:numPr>
          <w:ilvl w:val="0"/>
          <w:numId w:val="0"/>
        </w:numPr>
        <w:ind w:left="432" w:hanging="432"/>
        <w:rPr>
          <w:lang w:val="en-US"/>
        </w:rPr>
      </w:pPr>
      <w:bookmarkStart w:id="3" w:name="_Toc120996311"/>
      <w:r>
        <w:rPr>
          <w:lang w:val="en-US"/>
        </w:rPr>
        <w:lastRenderedPageBreak/>
        <w:t>Executive summary</w:t>
      </w:r>
      <w:bookmarkEnd w:id="3"/>
    </w:p>
    <w:p w14:paraId="0E82CF91" w14:textId="3F1338B1" w:rsidR="000A4CC7" w:rsidRDefault="00C94025" w:rsidP="00C94025">
      <w:pPr>
        <w:rPr>
          <w:lang w:val="en-US"/>
        </w:rPr>
      </w:pPr>
      <w:r>
        <w:rPr>
          <w:lang w:val="en-US"/>
        </w:rPr>
        <w:t>blablabla</w:t>
      </w:r>
    </w:p>
    <w:p w14:paraId="5F72B30B" w14:textId="77777777" w:rsidR="000A4CC7" w:rsidRDefault="000A4CC7">
      <w:pPr>
        <w:rPr>
          <w:lang w:val="en-US"/>
        </w:rPr>
      </w:pPr>
      <w:r>
        <w:rPr>
          <w:lang w:val="en-US"/>
        </w:rPr>
        <w:br w:type="page"/>
      </w:r>
    </w:p>
    <w:p w14:paraId="274C8EE9" w14:textId="2F8FABBE" w:rsidR="00C94025" w:rsidRDefault="000A4CC7" w:rsidP="000A4CC7">
      <w:pPr>
        <w:pStyle w:val="Ttulo1"/>
        <w:rPr>
          <w:lang w:val="en-US"/>
        </w:rPr>
      </w:pPr>
      <w:bookmarkStart w:id="4" w:name="_Toc120996312"/>
      <w:r>
        <w:rPr>
          <w:lang w:val="en-US"/>
        </w:rPr>
        <w:lastRenderedPageBreak/>
        <w:t>Introduction</w:t>
      </w:r>
      <w:bookmarkEnd w:id="4"/>
    </w:p>
    <w:p w14:paraId="35BC589D" w14:textId="10F0794D" w:rsidR="000A4CC7" w:rsidRDefault="001B6C26" w:rsidP="001B6C26">
      <w:pPr>
        <w:pStyle w:val="Ttulo2"/>
      </w:pPr>
      <w:bookmarkStart w:id="5" w:name="_Toc120996313"/>
      <w:r w:rsidRPr="001B6C26">
        <w:t>Scope and Objectives</w:t>
      </w:r>
      <w:bookmarkEnd w:id="5"/>
    </w:p>
    <w:p w14:paraId="746A31C5" w14:textId="794654CB" w:rsidR="00EC0BFF" w:rsidRPr="005B16B5" w:rsidRDefault="005B16B5" w:rsidP="00EC0BFF">
      <w:pPr>
        <w:rPr>
          <w:lang w:val="en-US"/>
        </w:rPr>
      </w:pPr>
      <w:r w:rsidRPr="005B16B5">
        <w:rPr>
          <w:lang w:val="en-US"/>
        </w:rPr>
        <w:t>The aim of this d</w:t>
      </w:r>
      <w:r>
        <w:rPr>
          <w:lang w:val="en-US"/>
        </w:rPr>
        <w:t>ocument is to describe the</w:t>
      </w:r>
      <w:r w:rsidR="00B10790">
        <w:rPr>
          <w:lang w:val="en-US"/>
        </w:rPr>
        <w:t xml:space="preserve"> effect of the de-escalate measures performed by the </w:t>
      </w:r>
      <w:r w:rsidR="00F833E2">
        <w:rPr>
          <w:lang w:val="en-US"/>
        </w:rPr>
        <w:t>Spanish government</w:t>
      </w:r>
      <w:r w:rsidR="00B10790">
        <w:rPr>
          <w:lang w:val="en-US"/>
        </w:rPr>
        <w:t xml:space="preserve"> during June 2020 on the mobility patterns between provinces in Spain.</w:t>
      </w:r>
    </w:p>
    <w:p w14:paraId="3FD5972B" w14:textId="16AEBEB3" w:rsidR="00224343" w:rsidRDefault="00224343" w:rsidP="001B6C26">
      <w:pPr>
        <w:pStyle w:val="Ttulo2"/>
      </w:pPr>
      <w:bookmarkStart w:id="6" w:name="_Toc120996314"/>
      <w:r>
        <w:t>Motivation</w:t>
      </w:r>
    </w:p>
    <w:p w14:paraId="48D6A8FA" w14:textId="4694F83A" w:rsidR="00224343" w:rsidRPr="00485E78" w:rsidRDefault="00485E78" w:rsidP="00224343">
      <w:pPr>
        <w:rPr>
          <w:lang w:val="en-US"/>
        </w:rPr>
      </w:pPr>
      <w:r w:rsidRPr="00485E78">
        <w:rPr>
          <w:lang w:val="en-US"/>
        </w:rPr>
        <w:t>Big data obtained from geolocated devices, such as smartphones, can be used to analyze the impact of COVID-19 on mobility patterns</w:t>
      </w:r>
      <w:r w:rsidR="00BD0703">
        <w:rPr>
          <w:lang w:val="en-US"/>
        </w:rPr>
        <w:t xml:space="preserve"> </w:t>
      </w:r>
      <w:hyperlink w:anchor="_Zhou,_C.,_Su," w:history="1">
        <w:r w:rsidR="00BD0703" w:rsidRPr="00BD0703">
          <w:rPr>
            <w:rStyle w:val="Hipervnculo"/>
            <w:lang w:val="en-US"/>
          </w:rPr>
          <w:t>[1]</w:t>
        </w:r>
      </w:hyperlink>
      <w:hyperlink w:anchor="_Oliver,_N.,_Lepri," w:history="1">
        <w:r w:rsidR="00BD0703" w:rsidRPr="00BD0703">
          <w:rPr>
            <w:rStyle w:val="Hipervnculo"/>
            <w:lang w:val="en-US"/>
          </w:rPr>
          <w:t>[2]</w:t>
        </w:r>
      </w:hyperlink>
      <w:r w:rsidRPr="00485E78">
        <w:rPr>
          <w:lang w:val="en-US"/>
        </w:rPr>
        <w:t xml:space="preserve"> between provinces in Spain. This data can provide insights into how the virus is affecting people's movement between different areas of the country. For example, by tracking the movement of individuals over time, it may be possible to identify changes in the number of people traveling between provinces, as well as changes in the destinations that people are traveling to</w:t>
      </w:r>
      <w:r w:rsidR="00BD0703">
        <w:rPr>
          <w:lang w:val="en-US"/>
        </w:rPr>
        <w:t xml:space="preserve"> </w:t>
      </w:r>
      <w:hyperlink w:anchor="_Romanillos,_G.,_García-Palomares," w:history="1">
        <w:r w:rsidR="00BD0703" w:rsidRPr="00BD0703">
          <w:rPr>
            <w:rStyle w:val="Hipervnculo"/>
            <w:lang w:val="en-US"/>
          </w:rPr>
          <w:t>[3]</w:t>
        </w:r>
      </w:hyperlink>
      <w:r w:rsidRPr="00485E78">
        <w:rPr>
          <w:lang w:val="en-US"/>
        </w:rPr>
        <w:t>. This information can be used to understand the impact of the virus on regional mobility and to inform public health interventions. Additionally, analyzing mobility patterns can help identify trends and changes in behavior over time, which can provide valuable information for policymakers and researchers as they work to contain the spread of virus</w:t>
      </w:r>
      <w:r w:rsidR="00843B55">
        <w:rPr>
          <w:lang w:val="en-US"/>
        </w:rPr>
        <w:t xml:space="preserve"> in future social emergencies</w:t>
      </w:r>
      <w:r w:rsidRPr="00485E78">
        <w:rPr>
          <w:lang w:val="en-US"/>
        </w:rPr>
        <w:t>.</w:t>
      </w:r>
    </w:p>
    <w:p w14:paraId="0570B27D" w14:textId="211F10D6" w:rsidR="001B6C26" w:rsidRDefault="001B6C26" w:rsidP="001B6C26">
      <w:pPr>
        <w:pStyle w:val="Ttulo2"/>
      </w:pPr>
      <w:r w:rsidRPr="001B6C26">
        <w:t>Structure of the document</w:t>
      </w:r>
      <w:bookmarkEnd w:id="6"/>
    </w:p>
    <w:p w14:paraId="018D35E2" w14:textId="100C6F6E" w:rsidR="00114F75" w:rsidRDefault="00114F75" w:rsidP="00114F75">
      <w:pPr>
        <w:rPr>
          <w:lang w:val="en-US"/>
        </w:rPr>
      </w:pPr>
      <w:r w:rsidRPr="00114F75">
        <w:rPr>
          <w:lang w:val="en-US"/>
        </w:rPr>
        <w:t>The document is structured a</w:t>
      </w:r>
      <w:r>
        <w:rPr>
          <w:lang w:val="en-US"/>
        </w:rPr>
        <w:t>s follows:</w:t>
      </w:r>
    </w:p>
    <w:p w14:paraId="481B8176" w14:textId="272DE1A4" w:rsidR="00114F75" w:rsidRDefault="00114F75" w:rsidP="00114F75">
      <w:pPr>
        <w:pStyle w:val="Prrafodelista"/>
        <w:numPr>
          <w:ilvl w:val="0"/>
          <w:numId w:val="2"/>
        </w:numPr>
        <w:rPr>
          <w:lang w:val="en-US"/>
        </w:rPr>
      </w:pPr>
      <w:r>
        <w:rPr>
          <w:lang w:val="en-US"/>
        </w:rPr>
        <w:t>Section 1 defines the main concepts and terms used throughout the document</w:t>
      </w:r>
      <w:r w:rsidR="007D2A53">
        <w:rPr>
          <w:lang w:val="en-US"/>
        </w:rPr>
        <w:t>.</w:t>
      </w:r>
    </w:p>
    <w:p w14:paraId="2F02632A" w14:textId="05B5CBAE" w:rsidR="00114F75" w:rsidRDefault="00114F75" w:rsidP="00114F75">
      <w:pPr>
        <w:pStyle w:val="Prrafodelista"/>
        <w:numPr>
          <w:ilvl w:val="0"/>
          <w:numId w:val="2"/>
        </w:numPr>
        <w:rPr>
          <w:lang w:val="en-US"/>
        </w:rPr>
      </w:pPr>
      <w:r>
        <w:rPr>
          <w:lang w:val="en-US"/>
        </w:rPr>
        <w:t>Section 2 provides an overview of the methodology</w:t>
      </w:r>
      <w:r w:rsidR="007D2A53">
        <w:rPr>
          <w:lang w:val="en-US"/>
        </w:rPr>
        <w:t xml:space="preserve"> used in the project.</w:t>
      </w:r>
    </w:p>
    <w:p w14:paraId="2A5374AE" w14:textId="6AB51863" w:rsidR="007D2A53" w:rsidRDefault="007D2A53" w:rsidP="00114F75">
      <w:pPr>
        <w:pStyle w:val="Prrafodelista"/>
        <w:numPr>
          <w:ilvl w:val="0"/>
          <w:numId w:val="2"/>
        </w:numPr>
        <w:rPr>
          <w:lang w:val="en-US"/>
        </w:rPr>
      </w:pPr>
      <w:r>
        <w:rPr>
          <w:lang w:val="en-US"/>
        </w:rPr>
        <w:t xml:space="preserve">Section 3 describes and discusses the results of the </w:t>
      </w:r>
      <w:r w:rsidR="009947B5">
        <w:rPr>
          <w:lang w:val="en-US"/>
        </w:rPr>
        <w:t xml:space="preserve">data analysis, </w:t>
      </w:r>
    </w:p>
    <w:p w14:paraId="1B004492" w14:textId="43C888BA" w:rsidR="009947B5" w:rsidRPr="00114F75" w:rsidRDefault="009947B5" w:rsidP="00114F75">
      <w:pPr>
        <w:pStyle w:val="Prrafodelista"/>
        <w:numPr>
          <w:ilvl w:val="0"/>
          <w:numId w:val="2"/>
        </w:numPr>
        <w:rPr>
          <w:lang w:val="en-US"/>
        </w:rPr>
      </w:pPr>
      <w:r>
        <w:rPr>
          <w:lang w:val="en-US"/>
        </w:rPr>
        <w:t xml:space="preserve">Section 4 </w:t>
      </w:r>
      <w:r w:rsidR="003B55E9">
        <w:rPr>
          <w:lang w:val="en-US"/>
        </w:rPr>
        <w:t>summarizes</w:t>
      </w:r>
      <w:r>
        <w:rPr>
          <w:lang w:val="en-US"/>
        </w:rPr>
        <w:t xml:space="preserve"> the main conclusions and discusses future research directions.</w:t>
      </w:r>
    </w:p>
    <w:p w14:paraId="6B6CE054" w14:textId="2E5819CE" w:rsidR="001B6C26" w:rsidRPr="001B6C26" w:rsidRDefault="001B6C26" w:rsidP="001B6C26">
      <w:pPr>
        <w:pStyle w:val="Ttulo2"/>
      </w:pPr>
      <w:bookmarkStart w:id="7" w:name="_Toc120996315"/>
      <w:r w:rsidRPr="001B6C26">
        <w:t>Glossary of Terms</w:t>
      </w:r>
      <w:bookmarkEnd w:id="7"/>
    </w:p>
    <w:p w14:paraId="04E2AFB5" w14:textId="7324D235" w:rsidR="001B6C26" w:rsidRPr="001B6C26" w:rsidRDefault="001B6C26" w:rsidP="001B6C26">
      <w:pPr>
        <w:pStyle w:val="Ttulo2"/>
      </w:pPr>
      <w:bookmarkStart w:id="8" w:name="_Toc120996316"/>
      <w:r w:rsidRPr="001B6C26">
        <w:t>Acronyms and Abbreviations</w:t>
      </w:r>
      <w:bookmarkEnd w:id="8"/>
    </w:p>
    <w:p w14:paraId="43F2B17B" w14:textId="3C734DA1" w:rsidR="00D85078" w:rsidRDefault="00E94865" w:rsidP="00213069">
      <w:pPr>
        <w:pStyle w:val="Ttulo1"/>
        <w:rPr>
          <w:lang w:val="en-US"/>
        </w:rPr>
      </w:pPr>
      <w:bookmarkStart w:id="9" w:name="_Toc120996317"/>
      <w:r>
        <w:rPr>
          <w:lang w:val="en-US"/>
        </w:rPr>
        <w:t>Case study, data and m</w:t>
      </w:r>
      <w:r w:rsidR="00D85078">
        <w:rPr>
          <w:lang w:val="en-US"/>
        </w:rPr>
        <w:t>ethodology</w:t>
      </w:r>
      <w:bookmarkEnd w:id="9"/>
    </w:p>
    <w:p w14:paraId="66A13576" w14:textId="1FA4780F" w:rsidR="001B6C26" w:rsidRDefault="00F833E2" w:rsidP="00D85078">
      <w:pPr>
        <w:pStyle w:val="Ttulo2"/>
        <w:rPr>
          <w:lang w:val="en-US"/>
        </w:rPr>
      </w:pPr>
      <w:r>
        <w:rPr>
          <w:lang w:val="en-US"/>
        </w:rPr>
        <w:t>Study area and phases</w:t>
      </w:r>
    </w:p>
    <w:p w14:paraId="27418028" w14:textId="64D0E919" w:rsidR="00F833E2" w:rsidRDefault="00F833E2" w:rsidP="00F833E2">
      <w:pPr>
        <w:rPr>
          <w:lang w:val="en-US"/>
        </w:rPr>
      </w:pPr>
      <w:r>
        <w:rPr>
          <w:lang w:val="en-US"/>
        </w:rPr>
        <w:t>The selected study area covers all the provinces in Spain</w:t>
      </w:r>
      <w:r w:rsidR="00C11114">
        <w:rPr>
          <w:lang w:val="en-US"/>
        </w:rPr>
        <w:t xml:space="preserve">. </w:t>
      </w:r>
      <w:r w:rsidR="00DB12DC">
        <w:rPr>
          <w:lang w:val="en-US"/>
        </w:rPr>
        <w:t xml:space="preserve">Aggregation of provinces into autonomous communities are performed in some analysis </w:t>
      </w:r>
      <w:r w:rsidR="002B2224">
        <w:rPr>
          <w:lang w:val="en-US"/>
        </w:rPr>
        <w:t>to</w:t>
      </w:r>
      <w:r w:rsidR="00DB12DC">
        <w:rPr>
          <w:lang w:val="en-US"/>
        </w:rPr>
        <w:t xml:space="preserve"> provide a better understanding of the mobility dynamics.</w:t>
      </w:r>
      <w:r w:rsidR="0014266C">
        <w:rPr>
          <w:lang w:val="en-US"/>
        </w:rPr>
        <w:t xml:space="preserve"> This aggregation is remarked on the analysis where it has been applied.</w:t>
      </w:r>
    </w:p>
    <w:p w14:paraId="71835FCA" w14:textId="77777777" w:rsidR="00C97821" w:rsidRDefault="00C07B9C" w:rsidP="00F833E2">
      <w:pPr>
        <w:rPr>
          <w:lang w:val="en-US"/>
        </w:rPr>
      </w:pPr>
      <w:r>
        <w:rPr>
          <w:lang w:val="en-US"/>
        </w:rPr>
        <w:t xml:space="preserve">Regarding the time frame, the project analyzes </w:t>
      </w:r>
      <w:r w:rsidR="00370DD1">
        <w:rPr>
          <w:lang w:val="en-US"/>
        </w:rPr>
        <w:t xml:space="preserve">the impact of the de-escalate measures performed during June 2020, when most of the autonomous communities </w:t>
      </w:r>
      <w:r w:rsidR="008832C1">
        <w:rPr>
          <w:lang w:val="en-US"/>
        </w:rPr>
        <w:t xml:space="preserve">transitioned between the phases of lockdown. </w:t>
      </w:r>
      <w:r w:rsidR="00C97821">
        <w:rPr>
          <w:lang w:val="en-US"/>
        </w:rPr>
        <w:t>Two different weeks have been chosen to compare the mobility pattern of June 2020:</w:t>
      </w:r>
    </w:p>
    <w:p w14:paraId="5A4CC2E5" w14:textId="77777777" w:rsidR="00C97821" w:rsidRDefault="00517C19" w:rsidP="00C97821">
      <w:pPr>
        <w:pStyle w:val="Prrafodelista"/>
        <w:numPr>
          <w:ilvl w:val="0"/>
          <w:numId w:val="4"/>
        </w:numPr>
        <w:rPr>
          <w:lang w:val="en-US"/>
        </w:rPr>
      </w:pPr>
      <w:r w:rsidRPr="00C97821">
        <w:rPr>
          <w:lang w:val="en-US"/>
        </w:rPr>
        <w:t>Week of 14-20 February is used as reference week for the mobility patterns with normal activity prior to COVID-</w:t>
      </w:r>
      <w:r w:rsidR="00C97821" w:rsidRPr="00C97821">
        <w:rPr>
          <w:lang w:val="en-US"/>
        </w:rPr>
        <w:t>19 before</w:t>
      </w:r>
      <w:r w:rsidR="005B740A" w:rsidRPr="00C97821">
        <w:rPr>
          <w:lang w:val="en-US"/>
        </w:rPr>
        <w:t xml:space="preserve"> the state of alarm. </w:t>
      </w:r>
    </w:p>
    <w:p w14:paraId="3D8B43EA" w14:textId="3BCFC188" w:rsidR="00C07B9C" w:rsidRPr="00C97821" w:rsidRDefault="00C97821" w:rsidP="00C97821">
      <w:pPr>
        <w:pStyle w:val="Prrafodelista"/>
        <w:numPr>
          <w:ilvl w:val="0"/>
          <w:numId w:val="4"/>
        </w:numPr>
        <w:rPr>
          <w:lang w:val="en-US"/>
        </w:rPr>
      </w:pPr>
      <w:r w:rsidRPr="00C97821">
        <w:rPr>
          <w:lang w:val="en-US"/>
        </w:rPr>
        <w:t>W</w:t>
      </w:r>
      <w:r w:rsidR="005B740A" w:rsidRPr="00C97821">
        <w:rPr>
          <w:lang w:val="en-US"/>
        </w:rPr>
        <w:t xml:space="preserve">eek of </w:t>
      </w:r>
      <w:r w:rsidR="00B53722">
        <w:rPr>
          <w:lang w:val="en-US"/>
        </w:rPr>
        <w:t>4</w:t>
      </w:r>
      <w:r w:rsidR="00C223C1">
        <w:rPr>
          <w:lang w:val="en-US"/>
        </w:rPr>
        <w:t xml:space="preserve"> - </w:t>
      </w:r>
      <w:r w:rsidR="00B53722">
        <w:rPr>
          <w:lang w:val="en-US"/>
        </w:rPr>
        <w:t>11</w:t>
      </w:r>
      <w:r w:rsidR="00977AC1" w:rsidRPr="00C97821">
        <w:rPr>
          <w:lang w:val="en-US"/>
        </w:rPr>
        <w:t xml:space="preserve"> </w:t>
      </w:r>
      <w:r w:rsidR="00512EF1">
        <w:rPr>
          <w:lang w:val="en-US"/>
        </w:rPr>
        <w:t xml:space="preserve">May </w:t>
      </w:r>
      <w:r w:rsidR="00977AC1" w:rsidRPr="00C97821">
        <w:rPr>
          <w:lang w:val="en-US"/>
        </w:rPr>
        <w:t xml:space="preserve">is used as reference week for the mobility patterns </w:t>
      </w:r>
      <w:r w:rsidR="004679F8" w:rsidRPr="00C97821">
        <w:rPr>
          <w:lang w:val="en-US"/>
        </w:rPr>
        <w:t>during the state of alarm.</w:t>
      </w:r>
      <w:r w:rsidR="002E75AA" w:rsidRPr="00C97821">
        <w:rPr>
          <w:lang w:val="en-US"/>
        </w:rPr>
        <w:t xml:space="preserve"> </w:t>
      </w:r>
      <w:r w:rsidRPr="00C97821">
        <w:rPr>
          <w:lang w:val="en-US"/>
        </w:rPr>
        <w:t xml:space="preserve">Although </w:t>
      </w:r>
      <w:r w:rsidRPr="00C97821">
        <w:rPr>
          <w:lang w:val="en-US"/>
        </w:rPr>
        <w:t xml:space="preserve">this week is </w:t>
      </w:r>
      <w:r w:rsidRPr="00C97821">
        <w:rPr>
          <w:lang w:val="en-US"/>
        </w:rPr>
        <w:t>not during the most restrictive phase of the quarantine,</w:t>
      </w:r>
      <w:r w:rsidRPr="00C97821">
        <w:rPr>
          <w:lang w:val="en-US"/>
        </w:rPr>
        <w:t xml:space="preserve"> it has been chosen</w:t>
      </w:r>
      <w:r>
        <w:rPr>
          <w:lang w:val="en-US"/>
        </w:rPr>
        <w:t xml:space="preserve"> as </w:t>
      </w:r>
      <w:r w:rsidR="00C223C1">
        <w:rPr>
          <w:lang w:val="en-US"/>
        </w:rPr>
        <w:t xml:space="preserve">some of the </w:t>
      </w:r>
      <w:r w:rsidR="00CC0C07">
        <w:rPr>
          <w:lang w:val="en-US"/>
        </w:rPr>
        <w:t xml:space="preserve">mobility </w:t>
      </w:r>
      <w:r w:rsidR="00C223C1">
        <w:rPr>
          <w:lang w:val="en-US"/>
        </w:rPr>
        <w:t>restrictions were lifted.</w:t>
      </w:r>
    </w:p>
    <w:p w14:paraId="31CE3E20" w14:textId="2B27C1CE" w:rsidR="00304744" w:rsidRPr="00990756" w:rsidRDefault="00B515B1" w:rsidP="007F5144">
      <w:pPr>
        <w:rPr>
          <w:lang w:val="en-US"/>
        </w:rPr>
      </w:pPr>
      <w:r>
        <w:rPr>
          <w:lang w:val="en-US"/>
        </w:rPr>
        <w:lastRenderedPageBreak/>
        <w:t xml:space="preserve">It must be noted that </w:t>
      </w:r>
      <w:r w:rsidR="00B46CD4">
        <w:rPr>
          <w:lang w:val="en-US"/>
        </w:rPr>
        <w:t>a</w:t>
      </w:r>
      <w:r>
        <w:rPr>
          <w:lang w:val="en-US"/>
        </w:rPr>
        <w:t xml:space="preserve"> </w:t>
      </w:r>
      <w:r w:rsidR="00B46CD4">
        <w:rPr>
          <w:lang w:val="en-US"/>
        </w:rPr>
        <w:t xml:space="preserve">4-phase transition plan to the New Normal was established </w:t>
      </w:r>
      <w:r w:rsidR="00012F2E">
        <w:rPr>
          <w:lang w:val="en-US"/>
        </w:rPr>
        <w:t>on April 28</w:t>
      </w:r>
      <w:r w:rsidR="00012F2E">
        <w:rPr>
          <w:vertAlign w:val="superscript"/>
          <w:lang w:val="en-US"/>
        </w:rPr>
        <w:t>th</w:t>
      </w:r>
      <w:r w:rsidR="00012F2E">
        <w:rPr>
          <w:lang w:val="en-US"/>
        </w:rPr>
        <w:t>.</w:t>
      </w:r>
      <w:r w:rsidR="005B77EB">
        <w:rPr>
          <w:lang w:val="en-US"/>
        </w:rPr>
        <w:t xml:space="preserve"> </w:t>
      </w:r>
      <w:r w:rsidR="008A3659">
        <w:rPr>
          <w:lang w:val="en-US"/>
        </w:rPr>
        <w:t xml:space="preserve">The details of this transition plan can be found in </w:t>
      </w:r>
      <w:hyperlink w:anchor="_Spanish_government._(2020," w:history="1">
        <w:r w:rsidR="0075596B" w:rsidRPr="0075596B">
          <w:rPr>
            <w:rStyle w:val="Hipervnculo"/>
            <w:lang w:val="en-US"/>
          </w:rPr>
          <w:t>[</w:t>
        </w:r>
        <w:r w:rsidR="00387895">
          <w:rPr>
            <w:rStyle w:val="Hipervnculo"/>
            <w:lang w:val="en-US"/>
          </w:rPr>
          <w:t>4</w:t>
        </w:r>
        <w:r w:rsidR="0075596B" w:rsidRPr="0075596B">
          <w:rPr>
            <w:rStyle w:val="Hipervnculo"/>
            <w:lang w:val="en-US"/>
          </w:rPr>
          <w:t>]</w:t>
        </w:r>
      </w:hyperlink>
      <w:r w:rsidR="0075596B">
        <w:rPr>
          <w:lang w:val="en-US"/>
        </w:rPr>
        <w:t>.</w:t>
      </w:r>
      <w:r w:rsidR="00984E91">
        <w:rPr>
          <w:lang w:val="en-US"/>
        </w:rPr>
        <w:t xml:space="preserve"> </w:t>
      </w:r>
      <w:r w:rsidR="00984E91">
        <w:rPr>
          <w:lang w:val="en-US"/>
        </w:rPr>
        <w:t xml:space="preserve">To understand the results obtained, </w:t>
      </w:r>
      <w:r w:rsidR="0086777C">
        <w:rPr>
          <w:lang w:val="en-US"/>
        </w:rPr>
        <w:t>transition phase of the provinces</w:t>
      </w:r>
      <w:r w:rsidR="00984E91">
        <w:rPr>
          <w:lang w:val="en-US"/>
        </w:rPr>
        <w:t xml:space="preserve"> decreed by the Government of Spain must be defined.</w:t>
      </w:r>
      <w:r w:rsidR="00F164D0">
        <w:rPr>
          <w:lang w:val="en-US"/>
        </w:rPr>
        <w:t xml:space="preserve"> </w:t>
      </w:r>
      <w:r w:rsidR="00F164D0">
        <w:rPr>
          <w:lang w:val="en-US"/>
        </w:rPr>
        <w:fldChar w:fldCharType="begin"/>
      </w:r>
      <w:r w:rsidR="00F164D0">
        <w:rPr>
          <w:lang w:val="en-US"/>
        </w:rPr>
        <w:instrText xml:space="preserve"> REF _Ref121226736 \h </w:instrText>
      </w:r>
      <w:r w:rsidR="00F164D0">
        <w:rPr>
          <w:lang w:val="en-US"/>
        </w:rPr>
      </w:r>
      <w:r w:rsidR="00F164D0">
        <w:rPr>
          <w:lang w:val="en-US"/>
        </w:rPr>
        <w:fldChar w:fldCharType="separate"/>
      </w:r>
      <w:r w:rsidR="00F164D0" w:rsidRPr="004C6BDD">
        <w:rPr>
          <w:lang w:val="en-US"/>
        </w:rPr>
        <w:t xml:space="preserve">Figure </w:t>
      </w:r>
      <w:r w:rsidR="00F164D0" w:rsidRPr="004C6BDD">
        <w:rPr>
          <w:noProof/>
          <w:lang w:val="en-US"/>
        </w:rPr>
        <w:t>1</w:t>
      </w:r>
      <w:r w:rsidR="00F164D0">
        <w:rPr>
          <w:lang w:val="en-US"/>
        </w:rPr>
        <w:fldChar w:fldCharType="end"/>
      </w:r>
      <w:r w:rsidR="00F164D0">
        <w:rPr>
          <w:lang w:val="en-US"/>
        </w:rPr>
        <w:t xml:space="preserve"> shows the evolution of de-escalate phases </w:t>
      </w:r>
      <w:r w:rsidR="00954AFF">
        <w:rPr>
          <w:lang w:val="en-US"/>
        </w:rPr>
        <w:t>in Spain provinces from May 11</w:t>
      </w:r>
      <w:r w:rsidR="00954AFF">
        <w:rPr>
          <w:vertAlign w:val="superscript"/>
          <w:lang w:val="en-US"/>
        </w:rPr>
        <w:t>th</w:t>
      </w:r>
      <w:r w:rsidR="00954AFF">
        <w:rPr>
          <w:lang w:val="en-US"/>
        </w:rPr>
        <w:t xml:space="preserve"> to </w:t>
      </w:r>
      <w:r w:rsidR="00892718">
        <w:rPr>
          <w:lang w:val="en-US"/>
        </w:rPr>
        <w:t>June 2</w:t>
      </w:r>
      <w:r w:rsidR="00990756">
        <w:rPr>
          <w:lang w:val="en-US"/>
        </w:rPr>
        <w:t>1</w:t>
      </w:r>
      <w:r w:rsidR="00990756">
        <w:rPr>
          <w:vertAlign w:val="superscript"/>
          <w:lang w:val="en-US"/>
        </w:rPr>
        <w:t>st</w:t>
      </w:r>
      <w:r w:rsidR="00990756">
        <w:rPr>
          <w:lang w:val="en-US"/>
        </w:rPr>
        <w:t xml:space="preserve">, when all the provinces </w:t>
      </w:r>
      <w:r w:rsidR="00E32710">
        <w:rPr>
          <w:lang w:val="en-US"/>
        </w:rPr>
        <w:t>reach</w:t>
      </w:r>
      <w:r w:rsidR="00990756">
        <w:rPr>
          <w:lang w:val="en-US"/>
        </w:rPr>
        <w:t xml:space="preserve"> the new normality phase.</w:t>
      </w:r>
      <w:r w:rsidR="00466259">
        <w:rPr>
          <w:lang w:val="en-US"/>
        </w:rPr>
        <w:t xml:space="preserve"> </w:t>
      </w:r>
      <w:r w:rsidR="00466259">
        <w:rPr>
          <w:lang w:val="en-US"/>
        </w:rPr>
        <w:fldChar w:fldCharType="begin"/>
      </w:r>
      <w:r w:rsidR="00466259">
        <w:rPr>
          <w:lang w:val="en-US"/>
        </w:rPr>
        <w:instrText xml:space="preserve"> REF _Ref121229318 \h </w:instrText>
      </w:r>
      <w:r w:rsidR="00466259">
        <w:rPr>
          <w:lang w:val="en-US"/>
        </w:rPr>
      </w:r>
      <w:r w:rsidR="00466259">
        <w:rPr>
          <w:lang w:val="en-US"/>
        </w:rPr>
        <w:fldChar w:fldCharType="separate"/>
      </w:r>
      <w:r w:rsidR="00466259" w:rsidRPr="001B1C34">
        <w:rPr>
          <w:lang w:val="en-US"/>
        </w:rPr>
        <w:t xml:space="preserve">Table </w:t>
      </w:r>
      <w:r w:rsidR="00466259" w:rsidRPr="001B1C34">
        <w:rPr>
          <w:noProof/>
          <w:lang w:val="en-US"/>
        </w:rPr>
        <w:t>1</w:t>
      </w:r>
      <w:r w:rsidR="00466259">
        <w:rPr>
          <w:lang w:val="en-US"/>
        </w:rPr>
        <w:fldChar w:fldCharType="end"/>
      </w:r>
      <w:r w:rsidR="00466259">
        <w:rPr>
          <w:lang w:val="en-US"/>
        </w:rPr>
        <w:t xml:space="preserve"> shows the dates of the study weeks, relating them to the de-escalation phases </w:t>
      </w:r>
      <w:r w:rsidR="00D11764">
        <w:rPr>
          <w:lang w:val="en-US"/>
        </w:rPr>
        <w:t xml:space="preserve">indicated in </w:t>
      </w:r>
      <w:r w:rsidR="00D11764">
        <w:rPr>
          <w:lang w:val="en-US"/>
        </w:rPr>
        <w:fldChar w:fldCharType="begin"/>
      </w:r>
      <w:r w:rsidR="00D11764">
        <w:rPr>
          <w:lang w:val="en-US"/>
        </w:rPr>
        <w:instrText xml:space="preserve"> REF _Ref121226736 \h </w:instrText>
      </w:r>
      <w:r w:rsidR="00D11764">
        <w:rPr>
          <w:lang w:val="en-US"/>
        </w:rPr>
      </w:r>
      <w:r w:rsidR="00D11764">
        <w:rPr>
          <w:lang w:val="en-US"/>
        </w:rPr>
        <w:fldChar w:fldCharType="separate"/>
      </w:r>
      <w:r w:rsidR="00D11764" w:rsidRPr="004C6BDD">
        <w:rPr>
          <w:lang w:val="en-US"/>
        </w:rPr>
        <w:t xml:space="preserve">Figure </w:t>
      </w:r>
      <w:r w:rsidR="00D11764" w:rsidRPr="004C6BDD">
        <w:rPr>
          <w:noProof/>
          <w:lang w:val="en-US"/>
        </w:rPr>
        <w:t>1</w:t>
      </w:r>
      <w:r w:rsidR="00D11764">
        <w:rPr>
          <w:lang w:val="en-US"/>
        </w:rPr>
        <w:fldChar w:fldCharType="end"/>
      </w:r>
      <w:r w:rsidR="00D11764">
        <w:rPr>
          <w:lang w:val="en-US"/>
        </w:rPr>
        <w:t>.</w:t>
      </w:r>
    </w:p>
    <w:p w14:paraId="2A8303E1" w14:textId="77777777" w:rsidR="004C6BDD" w:rsidRDefault="00671D57" w:rsidP="004C6BDD">
      <w:pPr>
        <w:keepNext/>
      </w:pPr>
      <w:r>
        <w:rPr>
          <w:noProof/>
          <w:lang w:val="en-US"/>
        </w:rPr>
        <w:drawing>
          <wp:inline distT="0" distB="0" distL="0" distR="0" wp14:anchorId="00574C15" wp14:editId="09BF7421">
            <wp:extent cx="5615940" cy="4076803"/>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5940" cy="4076803"/>
                    </a:xfrm>
                    <a:prstGeom prst="rect">
                      <a:avLst/>
                    </a:prstGeom>
                  </pic:spPr>
                </pic:pic>
              </a:graphicData>
            </a:graphic>
          </wp:inline>
        </w:drawing>
      </w:r>
    </w:p>
    <w:p w14:paraId="0C6B6911" w14:textId="1D8690CA" w:rsidR="00C614E2" w:rsidRPr="004C6BDD" w:rsidRDefault="004C6BDD" w:rsidP="004C6BDD">
      <w:pPr>
        <w:pStyle w:val="Descripcin"/>
        <w:jc w:val="center"/>
        <w:rPr>
          <w:lang w:val="en-US"/>
        </w:rPr>
      </w:pPr>
      <w:bookmarkStart w:id="10" w:name="_Ref121226736"/>
      <w:r w:rsidRPr="004C6BDD">
        <w:rPr>
          <w:lang w:val="en-US"/>
        </w:rPr>
        <w:t xml:space="preserve">Figure </w:t>
      </w:r>
      <w:r>
        <w:fldChar w:fldCharType="begin"/>
      </w:r>
      <w:r w:rsidRPr="004C6BDD">
        <w:rPr>
          <w:lang w:val="en-US"/>
        </w:rPr>
        <w:instrText xml:space="preserve"> SEQ Figure \* ARABIC </w:instrText>
      </w:r>
      <w:r>
        <w:fldChar w:fldCharType="separate"/>
      </w:r>
      <w:r w:rsidRPr="004C6BDD">
        <w:rPr>
          <w:noProof/>
          <w:lang w:val="en-US"/>
        </w:rPr>
        <w:t>1</w:t>
      </w:r>
      <w:r>
        <w:fldChar w:fldCharType="end"/>
      </w:r>
      <w:bookmarkEnd w:id="10"/>
      <w:r w:rsidRPr="004C6BDD">
        <w:rPr>
          <w:lang w:val="en-US"/>
        </w:rPr>
        <w:t>. De-escalate phases in Spain, colored by provinces.</w:t>
      </w:r>
    </w:p>
    <w:p w14:paraId="542441EF" w14:textId="77777777" w:rsidR="000746BC" w:rsidRPr="00F833E2" w:rsidRDefault="00E11BBB" w:rsidP="00F833E2">
      <w:pPr>
        <w:rPr>
          <w:lang w:val="en-US"/>
        </w:rPr>
      </w:pPr>
      <w:r>
        <w:rPr>
          <w:lang w:val="en-US"/>
        </w:rPr>
        <w:t xml:space="preserve"> </w:t>
      </w:r>
    </w:p>
    <w:tbl>
      <w:tblPr>
        <w:tblStyle w:val="Tablaconcuadrcula"/>
        <w:tblW w:w="0" w:type="auto"/>
        <w:tblLook w:val="04A0" w:firstRow="1" w:lastRow="0" w:firstColumn="1" w:lastColumn="0" w:noHBand="0" w:noVBand="1"/>
      </w:tblPr>
      <w:tblGrid>
        <w:gridCol w:w="846"/>
        <w:gridCol w:w="1701"/>
        <w:gridCol w:w="6287"/>
      </w:tblGrid>
      <w:tr w:rsidR="000746BC" w14:paraId="3AFE8AE9" w14:textId="77777777" w:rsidTr="007B5C9E">
        <w:tc>
          <w:tcPr>
            <w:tcW w:w="846" w:type="dxa"/>
          </w:tcPr>
          <w:p w14:paraId="59FE8FF2" w14:textId="689FF5CD" w:rsidR="000746BC" w:rsidRPr="000746BC" w:rsidRDefault="000746BC" w:rsidP="00F833E2">
            <w:pPr>
              <w:rPr>
                <w:b/>
                <w:bCs/>
                <w:lang w:val="en-US"/>
              </w:rPr>
            </w:pPr>
            <w:r w:rsidRPr="000746BC">
              <w:rPr>
                <w:b/>
                <w:bCs/>
                <w:lang w:val="en-US"/>
              </w:rPr>
              <w:t>Study weeks</w:t>
            </w:r>
          </w:p>
        </w:tc>
        <w:tc>
          <w:tcPr>
            <w:tcW w:w="1701" w:type="dxa"/>
          </w:tcPr>
          <w:p w14:paraId="15E52F40" w14:textId="3C923E72" w:rsidR="000746BC" w:rsidRPr="000746BC" w:rsidRDefault="000746BC" w:rsidP="00F833E2">
            <w:pPr>
              <w:rPr>
                <w:b/>
                <w:bCs/>
                <w:lang w:val="en-US"/>
              </w:rPr>
            </w:pPr>
            <w:r w:rsidRPr="000746BC">
              <w:rPr>
                <w:b/>
                <w:bCs/>
                <w:lang w:val="en-US"/>
              </w:rPr>
              <w:t>Dates</w:t>
            </w:r>
          </w:p>
        </w:tc>
        <w:tc>
          <w:tcPr>
            <w:tcW w:w="6287" w:type="dxa"/>
          </w:tcPr>
          <w:p w14:paraId="14527927" w14:textId="205ADFD0" w:rsidR="000746BC" w:rsidRPr="000746BC" w:rsidRDefault="000746BC" w:rsidP="00F833E2">
            <w:pPr>
              <w:rPr>
                <w:b/>
                <w:bCs/>
                <w:lang w:val="en-US"/>
              </w:rPr>
            </w:pPr>
            <w:r w:rsidRPr="000746BC">
              <w:rPr>
                <w:b/>
                <w:bCs/>
                <w:lang w:val="en-US"/>
              </w:rPr>
              <w:t>Corresponding phase</w:t>
            </w:r>
          </w:p>
        </w:tc>
      </w:tr>
      <w:tr w:rsidR="000746BC" w14:paraId="1B10F9F6" w14:textId="77777777" w:rsidTr="007B5C9E">
        <w:tc>
          <w:tcPr>
            <w:tcW w:w="846" w:type="dxa"/>
          </w:tcPr>
          <w:p w14:paraId="5223D9E5" w14:textId="01593084" w:rsidR="000746BC" w:rsidRDefault="00572ACB" w:rsidP="00F833E2">
            <w:pPr>
              <w:rPr>
                <w:lang w:val="en-US"/>
              </w:rPr>
            </w:pPr>
            <w:r>
              <w:rPr>
                <w:lang w:val="en-US"/>
              </w:rPr>
              <w:t>W0</w:t>
            </w:r>
          </w:p>
        </w:tc>
        <w:tc>
          <w:tcPr>
            <w:tcW w:w="1701" w:type="dxa"/>
          </w:tcPr>
          <w:p w14:paraId="446B0A72" w14:textId="12567D80" w:rsidR="000746BC" w:rsidRDefault="007B5C9E" w:rsidP="00F833E2">
            <w:pPr>
              <w:rPr>
                <w:lang w:val="en-US"/>
              </w:rPr>
            </w:pPr>
            <w:r>
              <w:rPr>
                <w:lang w:val="en-US"/>
              </w:rPr>
              <w:t>14-20 February</w:t>
            </w:r>
          </w:p>
        </w:tc>
        <w:tc>
          <w:tcPr>
            <w:tcW w:w="6287" w:type="dxa"/>
          </w:tcPr>
          <w:p w14:paraId="597C929A" w14:textId="7BDE318D" w:rsidR="000746BC" w:rsidRDefault="007B5C9E" w:rsidP="00F833E2">
            <w:pPr>
              <w:rPr>
                <w:lang w:val="en-US"/>
              </w:rPr>
            </w:pPr>
            <w:r>
              <w:rPr>
                <w:lang w:val="en-US"/>
              </w:rPr>
              <w:t>Reference week for normal activity prior to COVID-19, before the state of alarm</w:t>
            </w:r>
            <w:r w:rsidR="00062C80">
              <w:rPr>
                <w:lang w:val="en-US"/>
              </w:rPr>
              <w:t>.</w:t>
            </w:r>
          </w:p>
        </w:tc>
      </w:tr>
      <w:tr w:rsidR="000746BC" w14:paraId="02BE9E3E" w14:textId="77777777" w:rsidTr="007B5C9E">
        <w:tc>
          <w:tcPr>
            <w:tcW w:w="846" w:type="dxa"/>
          </w:tcPr>
          <w:p w14:paraId="755207F0" w14:textId="7C3D0050" w:rsidR="000746BC" w:rsidRDefault="007B5C9E" w:rsidP="00F833E2">
            <w:pPr>
              <w:rPr>
                <w:lang w:val="en-US"/>
              </w:rPr>
            </w:pPr>
            <w:r>
              <w:rPr>
                <w:lang w:val="en-US"/>
              </w:rPr>
              <w:t>W1</w:t>
            </w:r>
          </w:p>
        </w:tc>
        <w:tc>
          <w:tcPr>
            <w:tcW w:w="1701" w:type="dxa"/>
          </w:tcPr>
          <w:p w14:paraId="67077D84" w14:textId="152BB454" w:rsidR="000746BC" w:rsidRDefault="007B5C9E" w:rsidP="00F833E2">
            <w:pPr>
              <w:rPr>
                <w:lang w:val="en-US"/>
              </w:rPr>
            </w:pPr>
            <w:r>
              <w:rPr>
                <w:lang w:val="en-US"/>
              </w:rPr>
              <w:t>4-11 May</w:t>
            </w:r>
          </w:p>
        </w:tc>
        <w:tc>
          <w:tcPr>
            <w:tcW w:w="6287" w:type="dxa"/>
          </w:tcPr>
          <w:p w14:paraId="2567308F" w14:textId="0BEC1B41" w:rsidR="000746BC" w:rsidRDefault="00885BF5" w:rsidP="00F833E2">
            <w:pPr>
              <w:rPr>
                <w:lang w:val="en-US"/>
              </w:rPr>
            </w:pPr>
            <w:r>
              <w:rPr>
                <w:lang w:val="en-US"/>
              </w:rPr>
              <w:t>Second reference week for normal activity during COVID-19</w:t>
            </w:r>
            <w:r w:rsidR="00062C80">
              <w:rPr>
                <w:lang w:val="en-US"/>
              </w:rPr>
              <w:t>, during the state of alarm.</w:t>
            </w:r>
          </w:p>
        </w:tc>
      </w:tr>
      <w:tr w:rsidR="000746BC" w14:paraId="176E383C" w14:textId="77777777" w:rsidTr="007B5C9E">
        <w:tc>
          <w:tcPr>
            <w:tcW w:w="846" w:type="dxa"/>
          </w:tcPr>
          <w:p w14:paraId="65C95E27" w14:textId="5F729B24" w:rsidR="000746BC" w:rsidRDefault="00062C80" w:rsidP="00F833E2">
            <w:pPr>
              <w:rPr>
                <w:lang w:val="en-US"/>
              </w:rPr>
            </w:pPr>
            <w:r>
              <w:rPr>
                <w:lang w:val="en-US"/>
              </w:rPr>
              <w:t>W2</w:t>
            </w:r>
          </w:p>
        </w:tc>
        <w:tc>
          <w:tcPr>
            <w:tcW w:w="1701" w:type="dxa"/>
          </w:tcPr>
          <w:p w14:paraId="792DEFC2" w14:textId="1FA8D659" w:rsidR="000746BC" w:rsidRDefault="009666C2" w:rsidP="00F833E2">
            <w:pPr>
              <w:rPr>
                <w:lang w:val="en-US"/>
              </w:rPr>
            </w:pPr>
            <w:r>
              <w:rPr>
                <w:lang w:val="en-US"/>
              </w:rPr>
              <w:t>1-7 June</w:t>
            </w:r>
          </w:p>
        </w:tc>
        <w:tc>
          <w:tcPr>
            <w:tcW w:w="6287" w:type="dxa"/>
          </w:tcPr>
          <w:p w14:paraId="7253E467" w14:textId="77953DF7" w:rsidR="000746BC" w:rsidRPr="00861A32" w:rsidRDefault="009666C2" w:rsidP="00F833E2">
            <w:pPr>
              <w:rPr>
                <w:lang w:val="en-US"/>
              </w:rPr>
            </w:pPr>
            <w:r>
              <w:rPr>
                <w:lang w:val="en-US"/>
              </w:rPr>
              <w:t xml:space="preserve">First week of </w:t>
            </w:r>
            <w:r w:rsidR="005E22E4" w:rsidRPr="00861A32">
              <w:rPr>
                <w:lang w:val="en-US"/>
              </w:rPr>
              <w:t>June 2020</w:t>
            </w:r>
            <w:r w:rsidR="00861A32" w:rsidRPr="00861A32">
              <w:rPr>
                <w:lang w:val="en-US"/>
              </w:rPr>
              <w:t>, w</w:t>
            </w:r>
            <w:r w:rsidR="00861A32">
              <w:rPr>
                <w:lang w:val="en-US"/>
              </w:rPr>
              <w:t xml:space="preserve">here most </w:t>
            </w:r>
            <w:r w:rsidR="00D05D00">
              <w:rPr>
                <w:lang w:val="en-US"/>
              </w:rPr>
              <w:t xml:space="preserve">provinces </w:t>
            </w:r>
            <w:r w:rsidR="00204164">
              <w:rPr>
                <w:lang w:val="en-US"/>
              </w:rPr>
              <w:t>are in phase 2 and general mobility is not allowed</w:t>
            </w:r>
            <w:r w:rsidR="00A8477B">
              <w:rPr>
                <w:lang w:val="en-US"/>
              </w:rPr>
              <w:t>.</w:t>
            </w:r>
          </w:p>
        </w:tc>
      </w:tr>
      <w:tr w:rsidR="000746BC" w14:paraId="5DC0AC5D" w14:textId="77777777" w:rsidTr="007B5C9E">
        <w:tc>
          <w:tcPr>
            <w:tcW w:w="846" w:type="dxa"/>
          </w:tcPr>
          <w:p w14:paraId="7A70102A" w14:textId="765BFD63" w:rsidR="000746BC" w:rsidRDefault="005E22E4" w:rsidP="00F833E2">
            <w:pPr>
              <w:rPr>
                <w:lang w:val="en-US"/>
              </w:rPr>
            </w:pPr>
            <w:r>
              <w:rPr>
                <w:lang w:val="en-US"/>
              </w:rPr>
              <w:t>W3</w:t>
            </w:r>
          </w:p>
        </w:tc>
        <w:tc>
          <w:tcPr>
            <w:tcW w:w="1701" w:type="dxa"/>
          </w:tcPr>
          <w:p w14:paraId="38290834" w14:textId="45738A4B" w:rsidR="000746BC" w:rsidRDefault="00861A32" w:rsidP="00F833E2">
            <w:pPr>
              <w:rPr>
                <w:lang w:val="en-US"/>
              </w:rPr>
            </w:pPr>
            <w:r>
              <w:rPr>
                <w:lang w:val="en-US"/>
              </w:rPr>
              <w:t>8-14 June</w:t>
            </w:r>
          </w:p>
        </w:tc>
        <w:tc>
          <w:tcPr>
            <w:tcW w:w="6287" w:type="dxa"/>
          </w:tcPr>
          <w:p w14:paraId="192C90EE" w14:textId="33771748" w:rsidR="000746BC" w:rsidRDefault="00861A32" w:rsidP="00F833E2">
            <w:pPr>
              <w:rPr>
                <w:lang w:val="en-US"/>
              </w:rPr>
            </w:pPr>
            <w:r>
              <w:rPr>
                <w:lang w:val="en-US"/>
              </w:rPr>
              <w:t>Second week of June 2020</w:t>
            </w:r>
            <w:r w:rsidR="00204164">
              <w:rPr>
                <w:lang w:val="en-US"/>
              </w:rPr>
              <w:t>, where most provinces enters phase 3 and general mobility is allowed</w:t>
            </w:r>
            <w:r w:rsidR="00A8477B">
              <w:rPr>
                <w:lang w:val="en-US"/>
              </w:rPr>
              <w:t>.</w:t>
            </w:r>
          </w:p>
        </w:tc>
      </w:tr>
      <w:tr w:rsidR="000746BC" w14:paraId="5B6C34E3" w14:textId="77777777" w:rsidTr="007B5C9E">
        <w:tc>
          <w:tcPr>
            <w:tcW w:w="846" w:type="dxa"/>
          </w:tcPr>
          <w:p w14:paraId="43A14493" w14:textId="5871467D" w:rsidR="000746BC" w:rsidRDefault="00753276" w:rsidP="00F833E2">
            <w:pPr>
              <w:rPr>
                <w:lang w:val="en-US"/>
              </w:rPr>
            </w:pPr>
            <w:r>
              <w:rPr>
                <w:lang w:val="en-US"/>
              </w:rPr>
              <w:t>W4</w:t>
            </w:r>
          </w:p>
        </w:tc>
        <w:tc>
          <w:tcPr>
            <w:tcW w:w="1701" w:type="dxa"/>
          </w:tcPr>
          <w:p w14:paraId="1CD09E9C" w14:textId="5B816AF0" w:rsidR="000746BC" w:rsidRDefault="00753276" w:rsidP="00F833E2">
            <w:pPr>
              <w:rPr>
                <w:lang w:val="en-US"/>
              </w:rPr>
            </w:pPr>
            <w:r>
              <w:rPr>
                <w:lang w:val="en-US"/>
              </w:rPr>
              <w:t>15-21 June</w:t>
            </w:r>
          </w:p>
        </w:tc>
        <w:tc>
          <w:tcPr>
            <w:tcW w:w="6287" w:type="dxa"/>
          </w:tcPr>
          <w:p w14:paraId="0A618D08" w14:textId="250E41C0" w:rsidR="000746BC" w:rsidRDefault="00753276" w:rsidP="00F833E2">
            <w:pPr>
              <w:rPr>
                <w:lang w:val="en-US"/>
              </w:rPr>
            </w:pPr>
            <w:r>
              <w:rPr>
                <w:lang w:val="en-US"/>
              </w:rPr>
              <w:t>Third week of June 2020</w:t>
            </w:r>
            <w:r w:rsidR="001B1C34">
              <w:rPr>
                <w:lang w:val="en-US"/>
              </w:rPr>
              <w:t>, where all provinces transition between phase 2 or 3 to new normality phase.</w:t>
            </w:r>
          </w:p>
        </w:tc>
      </w:tr>
      <w:tr w:rsidR="001B1C34" w14:paraId="336DF3BB" w14:textId="77777777" w:rsidTr="007B5C9E">
        <w:tc>
          <w:tcPr>
            <w:tcW w:w="846" w:type="dxa"/>
          </w:tcPr>
          <w:p w14:paraId="2BB28481" w14:textId="2A470056" w:rsidR="001B1C34" w:rsidRDefault="001B1C34" w:rsidP="00F833E2">
            <w:pPr>
              <w:rPr>
                <w:lang w:val="en-US"/>
              </w:rPr>
            </w:pPr>
            <w:r>
              <w:rPr>
                <w:lang w:val="en-US"/>
              </w:rPr>
              <w:t>W5</w:t>
            </w:r>
          </w:p>
        </w:tc>
        <w:tc>
          <w:tcPr>
            <w:tcW w:w="1701" w:type="dxa"/>
          </w:tcPr>
          <w:p w14:paraId="7A92180F" w14:textId="51F266CD" w:rsidR="001B1C34" w:rsidRDefault="001B1C34" w:rsidP="00F833E2">
            <w:pPr>
              <w:rPr>
                <w:lang w:val="en-US"/>
              </w:rPr>
            </w:pPr>
            <w:r>
              <w:rPr>
                <w:lang w:val="en-US"/>
              </w:rPr>
              <w:t>22-28 June</w:t>
            </w:r>
          </w:p>
        </w:tc>
        <w:tc>
          <w:tcPr>
            <w:tcW w:w="6287" w:type="dxa"/>
          </w:tcPr>
          <w:p w14:paraId="51B1F76D" w14:textId="7AC4E405" w:rsidR="001B1C34" w:rsidRDefault="001B1C34" w:rsidP="001B1C34">
            <w:pPr>
              <w:keepNext/>
              <w:rPr>
                <w:lang w:val="en-US"/>
              </w:rPr>
            </w:pPr>
            <w:r>
              <w:rPr>
                <w:lang w:val="en-US"/>
              </w:rPr>
              <w:t>Fourth week of June 2020, where all provinces are in new normality phase</w:t>
            </w:r>
            <w:r w:rsidR="00A8477B">
              <w:rPr>
                <w:lang w:val="en-US"/>
              </w:rPr>
              <w:t>.</w:t>
            </w:r>
          </w:p>
        </w:tc>
      </w:tr>
    </w:tbl>
    <w:p w14:paraId="31C7BC7F" w14:textId="06EDAE4B" w:rsidR="00885C7D" w:rsidRPr="001B1C34" w:rsidRDefault="001B1C34" w:rsidP="001B1C34">
      <w:pPr>
        <w:pStyle w:val="Descripcin"/>
        <w:jc w:val="center"/>
        <w:rPr>
          <w:lang w:val="en-US"/>
        </w:rPr>
      </w:pPr>
      <w:bookmarkStart w:id="11" w:name="_Ref121229318"/>
      <w:r w:rsidRPr="001B1C34">
        <w:rPr>
          <w:lang w:val="en-US"/>
        </w:rPr>
        <w:t xml:space="preserve">Table </w:t>
      </w:r>
      <w:r>
        <w:fldChar w:fldCharType="begin"/>
      </w:r>
      <w:r w:rsidRPr="001B1C34">
        <w:rPr>
          <w:lang w:val="en-US"/>
        </w:rPr>
        <w:instrText xml:space="preserve"> SEQ Table \* ARABIC </w:instrText>
      </w:r>
      <w:r>
        <w:fldChar w:fldCharType="separate"/>
      </w:r>
      <w:r w:rsidRPr="001B1C34">
        <w:rPr>
          <w:noProof/>
          <w:lang w:val="en-US"/>
        </w:rPr>
        <w:t>1</w:t>
      </w:r>
      <w:r>
        <w:fldChar w:fldCharType="end"/>
      </w:r>
      <w:bookmarkEnd w:id="11"/>
      <w:r w:rsidRPr="001B1C34">
        <w:rPr>
          <w:lang w:val="en-US"/>
        </w:rPr>
        <w:t>. Study weeks, dates and correspondence with the de-escalation phases</w:t>
      </w:r>
    </w:p>
    <w:p w14:paraId="3FA39C3E" w14:textId="50B21E6F" w:rsidR="00D479C2" w:rsidRDefault="00BC7FA0" w:rsidP="00D479C2">
      <w:pPr>
        <w:pStyle w:val="Ttulo2"/>
        <w:rPr>
          <w:lang w:val="en-US"/>
        </w:rPr>
      </w:pPr>
      <w:r>
        <w:rPr>
          <w:lang w:val="en-US"/>
        </w:rPr>
        <w:lastRenderedPageBreak/>
        <w:t xml:space="preserve">Data sources </w:t>
      </w:r>
    </w:p>
    <w:p w14:paraId="5C465EB7" w14:textId="539CFCE6" w:rsidR="003F28D2" w:rsidRDefault="007314D1" w:rsidP="003F28D2">
      <w:pPr>
        <w:rPr>
          <w:lang w:val="en-US"/>
        </w:rPr>
      </w:pPr>
      <w:r w:rsidRPr="007314D1">
        <w:rPr>
          <w:lang w:val="en-US"/>
        </w:rPr>
        <w:t>The data sets o</w:t>
      </w:r>
      <w:r>
        <w:rPr>
          <w:lang w:val="en-US"/>
        </w:rPr>
        <w:t>n which this study is based are described below</w:t>
      </w:r>
      <w:r w:rsidR="001F7340">
        <w:rPr>
          <w:lang w:val="en-US"/>
        </w:rPr>
        <w:t>:</w:t>
      </w:r>
    </w:p>
    <w:p w14:paraId="13E6085B" w14:textId="52B6310D" w:rsidR="00A920FA" w:rsidRDefault="003A3888" w:rsidP="003A3888">
      <w:pPr>
        <w:pStyle w:val="Prrafodelista"/>
        <w:numPr>
          <w:ilvl w:val="0"/>
          <w:numId w:val="8"/>
        </w:numPr>
        <w:rPr>
          <w:lang w:val="en-US"/>
        </w:rPr>
      </w:pPr>
      <w:r w:rsidRPr="00FC1C4A">
        <w:rPr>
          <w:b/>
          <w:bCs/>
          <w:lang w:val="en-US"/>
        </w:rPr>
        <w:t>Mobile phone records</w:t>
      </w:r>
      <w:r w:rsidRPr="00FC1C4A">
        <w:rPr>
          <w:lang w:val="en-US"/>
        </w:rPr>
        <w:t xml:space="preserve">. This data </w:t>
      </w:r>
      <w:r w:rsidR="00E043B6" w:rsidRPr="00FC1C4A">
        <w:rPr>
          <w:lang w:val="en-US"/>
        </w:rPr>
        <w:t>for the extraction of mobility indicators</w:t>
      </w:r>
      <w:r w:rsidR="00FC1C4A">
        <w:rPr>
          <w:lang w:val="en-US"/>
        </w:rPr>
        <w:t>. It consists of a set of records</w:t>
      </w:r>
      <w:r w:rsidR="007D7066">
        <w:rPr>
          <w:lang w:val="en-US"/>
        </w:rPr>
        <w:t xml:space="preserve"> of mobile phone antennas which, once anonymized,</w:t>
      </w:r>
      <w:r w:rsidR="00320BC9">
        <w:rPr>
          <w:lang w:val="en-US"/>
        </w:rPr>
        <w:t xml:space="preserve"> comply with current data protection regulations.</w:t>
      </w:r>
      <w:r w:rsidR="00A920FA">
        <w:rPr>
          <w:lang w:val="en-US"/>
        </w:rPr>
        <w:t xml:space="preserve"> </w:t>
      </w:r>
      <w:r w:rsidR="00F21340">
        <w:rPr>
          <w:lang w:val="en-US"/>
        </w:rPr>
        <w:t>This data set</w:t>
      </w:r>
      <w:r w:rsidR="00A920FA">
        <w:rPr>
          <w:lang w:val="en-US"/>
        </w:rPr>
        <w:t xml:space="preserve"> is provided by the </w:t>
      </w:r>
      <w:r w:rsidR="002A1994">
        <w:rPr>
          <w:lang w:val="en-US"/>
        </w:rPr>
        <w:t>Spanish</w:t>
      </w:r>
      <w:r w:rsidR="00A920FA">
        <w:rPr>
          <w:lang w:val="en-US"/>
        </w:rPr>
        <w:t xml:space="preserve"> ministry of </w:t>
      </w:r>
      <w:r w:rsidR="00F21340">
        <w:rPr>
          <w:lang w:val="en-US"/>
        </w:rPr>
        <w:t>transport, mobility and urban agenda</w:t>
      </w:r>
      <w:r w:rsidR="002A1994">
        <w:rPr>
          <w:lang w:val="en-US"/>
        </w:rPr>
        <w:t xml:space="preserve"> </w:t>
      </w:r>
      <w:hyperlink w:anchor="_Spanish_Government._(n.d.)." w:history="1">
        <w:r w:rsidR="00D14355" w:rsidRPr="00D14355">
          <w:rPr>
            <w:rStyle w:val="Hipervnculo"/>
            <w:lang w:val="en-US"/>
          </w:rPr>
          <w:t>[5]</w:t>
        </w:r>
      </w:hyperlink>
      <w:r w:rsidR="00F21340">
        <w:rPr>
          <w:lang w:val="en-US"/>
        </w:rPr>
        <w:t>.</w:t>
      </w:r>
    </w:p>
    <w:p w14:paraId="489EED81" w14:textId="79351FEB" w:rsidR="001F7340" w:rsidRDefault="00A920FA" w:rsidP="003A3888">
      <w:pPr>
        <w:pStyle w:val="Prrafodelista"/>
        <w:numPr>
          <w:ilvl w:val="0"/>
          <w:numId w:val="8"/>
        </w:numPr>
        <w:rPr>
          <w:lang w:val="en-US"/>
        </w:rPr>
      </w:pPr>
      <w:r>
        <w:rPr>
          <w:b/>
          <w:bCs/>
          <w:lang w:val="en-US"/>
        </w:rPr>
        <w:t>Territorial boundaries</w:t>
      </w:r>
      <w:r>
        <w:rPr>
          <w:lang w:val="en-US"/>
        </w:rPr>
        <w:t xml:space="preserve">. </w:t>
      </w:r>
      <w:r w:rsidR="007D7066">
        <w:rPr>
          <w:lang w:val="en-US"/>
        </w:rPr>
        <w:t xml:space="preserve"> </w:t>
      </w:r>
    </w:p>
    <w:p w14:paraId="061662D3" w14:textId="5462DC9A" w:rsidR="0042366C" w:rsidRPr="00FC1C4A" w:rsidRDefault="0042366C" w:rsidP="003A3888">
      <w:pPr>
        <w:pStyle w:val="Prrafodelista"/>
        <w:numPr>
          <w:ilvl w:val="0"/>
          <w:numId w:val="8"/>
        </w:numPr>
        <w:rPr>
          <w:lang w:val="en-US"/>
        </w:rPr>
      </w:pPr>
      <w:r w:rsidRPr="0042366C">
        <w:rPr>
          <w:b/>
          <w:bCs/>
          <w:lang w:val="en-US"/>
        </w:rPr>
        <w:t>Data on State of Alarm phases and measures</w:t>
      </w:r>
      <w:r w:rsidRPr="0042366C">
        <w:rPr>
          <w:lang w:val="en-US"/>
        </w:rPr>
        <w:t>. They come from the Royal Decree of the Ministry of the Presidency of the Government of Spain published in the Official State Gazette</w:t>
      </w:r>
      <w:r w:rsidR="00E51A1E">
        <w:rPr>
          <w:lang w:val="en-US"/>
        </w:rPr>
        <w:t xml:space="preserve"> </w:t>
      </w:r>
      <w:hyperlink w:anchor="_Spanish_government._(2020,_1" w:history="1">
        <w:r w:rsidR="00820E11" w:rsidRPr="00820E11">
          <w:rPr>
            <w:rStyle w:val="Hipervnculo"/>
            <w:lang w:val="en-US"/>
          </w:rPr>
          <w:t>[4]</w:t>
        </w:r>
      </w:hyperlink>
      <w:r w:rsidRPr="0042366C">
        <w:rPr>
          <w:lang w:val="en-US"/>
        </w:rPr>
        <w:t>.</w:t>
      </w:r>
    </w:p>
    <w:p w14:paraId="6BEA5677" w14:textId="77777777" w:rsidR="00BC7FA0" w:rsidRPr="00BC7FA0" w:rsidRDefault="00BC7FA0" w:rsidP="00BC7FA0">
      <w:pPr>
        <w:rPr>
          <w:lang w:val="en-US"/>
        </w:rPr>
      </w:pPr>
    </w:p>
    <w:p w14:paraId="6B30F939" w14:textId="094C192A" w:rsidR="008A3659" w:rsidRDefault="008A3659">
      <w:pPr>
        <w:jc w:val="left"/>
        <w:rPr>
          <w:lang w:val="en-US"/>
        </w:rPr>
      </w:pPr>
      <w:r>
        <w:rPr>
          <w:lang w:val="en-US"/>
        </w:rPr>
        <w:br w:type="page"/>
      </w:r>
    </w:p>
    <w:p w14:paraId="476E050C" w14:textId="42CE125D" w:rsidR="00D479C2" w:rsidRDefault="008A3659" w:rsidP="008A3659">
      <w:pPr>
        <w:pStyle w:val="Titulosinlevel"/>
        <w:rPr>
          <w:lang w:val="en-US"/>
        </w:rPr>
      </w:pPr>
      <w:r>
        <w:rPr>
          <w:lang w:val="en-US"/>
        </w:rPr>
        <w:lastRenderedPageBreak/>
        <w:t>References</w:t>
      </w:r>
    </w:p>
    <w:p w14:paraId="042FA899" w14:textId="10874911" w:rsidR="002F5401" w:rsidRDefault="002F5401" w:rsidP="002F5401">
      <w:pPr>
        <w:pStyle w:val="Ttulo4"/>
      </w:pPr>
      <w:bookmarkStart w:id="12" w:name="_Spanish_government._(2020,"/>
      <w:bookmarkStart w:id="13" w:name="_Zhou,_C.,_Su,"/>
      <w:bookmarkEnd w:id="12"/>
      <w:bookmarkEnd w:id="13"/>
      <w:r w:rsidRPr="002F5401">
        <w:t xml:space="preserve">Zhou, C., Su, F., Pei, T., Zhang, A., Du, Y., Luo, B., Cao, Z., Wang, J., Yuan, W., Zhu, Y., Song, C., Chen, J., Xu, J., Li, F., Ma, T., Jiang, L., Yan, F., Yi, J., Hu, Y., … Xiao, H. (2020). </w:t>
      </w:r>
      <w:r w:rsidRPr="002F5401">
        <w:rPr>
          <w:b/>
          <w:bCs/>
        </w:rPr>
        <w:t>Covid-19: Challenges to GIS with big data. Geography and Sustainability</w:t>
      </w:r>
      <w:r w:rsidRPr="002F5401">
        <w:t xml:space="preserve">, 1(1), 77–87. </w:t>
      </w:r>
      <w:hyperlink r:id="rId11" w:history="1">
        <w:r w:rsidRPr="00EC4E5A">
          <w:rPr>
            <w:rStyle w:val="Hipervnculo"/>
          </w:rPr>
          <w:t>https://doi.org/10.1016/j.geosus.2020.03.005</w:t>
        </w:r>
      </w:hyperlink>
      <w:r>
        <w:t xml:space="preserve"> </w:t>
      </w:r>
    </w:p>
    <w:p w14:paraId="23FF4937" w14:textId="0519BAA2" w:rsidR="00BD0703" w:rsidRPr="00BD0703" w:rsidRDefault="00BD0703" w:rsidP="0075596B">
      <w:pPr>
        <w:pStyle w:val="Ttulo4"/>
      </w:pPr>
      <w:bookmarkStart w:id="14" w:name="_Oliver,_N.,_Lepri,"/>
      <w:bookmarkEnd w:id="14"/>
      <w:r w:rsidRPr="00BD0703">
        <w:t xml:space="preserve">Oliver, N., Lepri, B., Sterly, H., Lambiotte, R., Deletaille, S., De Nadai, M., Letouzé, E., Salah, A. A., Benjamins, R., Cattuto, C., Colizza, V., de Cordes, N., Fraiberger, S. P., Koebe, T., Lehmann, S., Murillo, J., Pentland, A., Pham, P. N., Pivetta, F., … Vinck, P. (2020). </w:t>
      </w:r>
      <w:r w:rsidRPr="00BD0703">
        <w:rPr>
          <w:b/>
          <w:bCs/>
        </w:rPr>
        <w:t>Mobile phone data for informing public health actions across the COVID-19 pandemic life cycle</w:t>
      </w:r>
      <w:r w:rsidRPr="00BD0703">
        <w:t xml:space="preserve">. Science Advances, 6(23). </w:t>
      </w:r>
      <w:hyperlink r:id="rId12" w:history="1">
        <w:r w:rsidRPr="00EC4E5A">
          <w:rPr>
            <w:rStyle w:val="Hipervnculo"/>
          </w:rPr>
          <w:t>https://doi.org/10.1126/sciadv.abc0764</w:t>
        </w:r>
      </w:hyperlink>
      <w:r>
        <w:t xml:space="preserve"> </w:t>
      </w:r>
    </w:p>
    <w:p w14:paraId="6BCC1FBE" w14:textId="34C5D168" w:rsidR="002F5401" w:rsidRDefault="001A6042" w:rsidP="0075596B">
      <w:pPr>
        <w:pStyle w:val="Ttulo4"/>
      </w:pPr>
      <w:bookmarkStart w:id="15" w:name="_Romanillos,_G.,_García-Palomares,"/>
      <w:bookmarkEnd w:id="15"/>
      <w:r w:rsidRPr="001A6042">
        <w:rPr>
          <w:lang w:val="es-ES"/>
        </w:rPr>
        <w:t xml:space="preserve">Romanillos, G., García-Palomares, J. C., Moya-Gómez, B., Gutiérrez, J., Torres, J., López, M., Cantú-Ros, O. G., &amp;; Herranz, R. (2021). </w:t>
      </w:r>
      <w:r w:rsidRPr="001A6042">
        <w:rPr>
          <w:b/>
          <w:bCs/>
        </w:rPr>
        <w:t>The city turned off: Urban Dynamics during the covid-19 pandemic based on mobile phone data</w:t>
      </w:r>
      <w:r w:rsidRPr="001A6042">
        <w:t xml:space="preserve">. Applied Geography, 134, 102524. </w:t>
      </w:r>
      <w:hyperlink r:id="rId13" w:history="1">
        <w:r w:rsidRPr="00EC4E5A">
          <w:rPr>
            <w:rStyle w:val="Hipervnculo"/>
          </w:rPr>
          <w:t>https://doi.org/10.1016/j.apgeog.2021.102524</w:t>
        </w:r>
      </w:hyperlink>
      <w:r>
        <w:t xml:space="preserve"> </w:t>
      </w:r>
    </w:p>
    <w:p w14:paraId="76A3568B" w14:textId="639B307C" w:rsidR="008A3659" w:rsidRDefault="00F32FC1" w:rsidP="0075596B">
      <w:pPr>
        <w:pStyle w:val="Ttulo4"/>
      </w:pPr>
      <w:bookmarkStart w:id="16" w:name="_Spanish_government._(2020,_1"/>
      <w:bookmarkEnd w:id="16"/>
      <w:r w:rsidRPr="0075596B">
        <w:t xml:space="preserve">Spanish government. (2020, April 28). </w:t>
      </w:r>
      <w:r w:rsidRPr="002F5401">
        <w:rPr>
          <w:b/>
          <w:bCs/>
        </w:rPr>
        <w:t>Plan</w:t>
      </w:r>
      <w:r w:rsidRPr="002F5401">
        <w:rPr>
          <w:b/>
          <w:bCs/>
        </w:rPr>
        <w:t xml:space="preserve"> de desescalada [Consejo de Ministros]</w:t>
      </w:r>
      <w:r w:rsidRPr="0075596B">
        <w:t xml:space="preserve">. Retrieved December 6, 2022, from </w:t>
      </w:r>
      <w:hyperlink r:id="rId14" w:history="1">
        <w:r w:rsidR="002F5401" w:rsidRPr="0075596B">
          <w:rPr>
            <w:rStyle w:val="Hipervnculo"/>
            <w:color w:val="auto"/>
            <w:u w:val="none"/>
          </w:rPr>
          <w:t>https://www.</w:t>
        </w:r>
        <w:r w:rsidR="002F5401" w:rsidRPr="0075596B">
          <w:rPr>
            <w:rStyle w:val="Hipervnculo"/>
            <w:color w:val="auto"/>
            <w:u w:val="none"/>
          </w:rPr>
          <w:t>l</w:t>
        </w:r>
        <w:r w:rsidR="002F5401" w:rsidRPr="0075596B">
          <w:rPr>
            <w:rStyle w:val="Hipervnculo"/>
            <w:color w:val="auto"/>
            <w:u w:val="none"/>
          </w:rPr>
          <w:t>amoncloa.gob.es/consejodeministros/Paginas/enlaces/280420-enlace-desescalada.aspx</w:t>
        </w:r>
      </w:hyperlink>
    </w:p>
    <w:p w14:paraId="2F6BEF0A" w14:textId="377DE519" w:rsidR="004C7A87" w:rsidRPr="004C7A87" w:rsidRDefault="004C7A87" w:rsidP="004C7A87">
      <w:pPr>
        <w:pStyle w:val="Ttulo4"/>
      </w:pPr>
      <w:bookmarkStart w:id="17" w:name="_Spanish_Government._(n.d.)."/>
      <w:bookmarkEnd w:id="17"/>
      <w:r w:rsidRPr="004C7A87">
        <w:t xml:space="preserve">Spanish Government. </w:t>
      </w:r>
      <w:r w:rsidRPr="002A1994">
        <w:rPr>
          <w:lang w:val="es-ES"/>
        </w:rPr>
        <w:t xml:space="preserve">(n.d.). </w:t>
      </w:r>
      <w:r w:rsidRPr="002A1994">
        <w:rPr>
          <w:b/>
          <w:bCs/>
          <w:lang w:val="es-ES"/>
        </w:rPr>
        <w:t>Open data Movilidad</w:t>
      </w:r>
      <w:r w:rsidR="002A1994" w:rsidRPr="002A1994">
        <w:rPr>
          <w:b/>
          <w:bCs/>
          <w:lang w:val="es-ES"/>
        </w:rPr>
        <w:t>, Ministerio de Transportes, Movilidad y Agenda Urbana</w:t>
      </w:r>
      <w:r w:rsidRPr="002A1994">
        <w:rPr>
          <w:lang w:val="es-ES"/>
        </w:rPr>
        <w:t xml:space="preserve">. </w:t>
      </w:r>
      <w:r w:rsidRPr="004C7A87">
        <w:t xml:space="preserve">Retrieved December 6, 2022, from </w:t>
      </w:r>
      <w:hyperlink r:id="rId15" w:history="1">
        <w:r w:rsidR="002A1994" w:rsidRPr="00EC4E5A">
          <w:rPr>
            <w:rStyle w:val="Hipervnculo"/>
          </w:rPr>
          <w:t>https://www.mitma.gob.es/ministerio/covid-19/evolucion-movilidad-big-data/opendata-movilidad</w:t>
        </w:r>
      </w:hyperlink>
      <w:r w:rsidR="002A1994">
        <w:t xml:space="preserve"> </w:t>
      </w:r>
    </w:p>
    <w:p w14:paraId="20B07CC4" w14:textId="77777777" w:rsidR="00F21340" w:rsidRPr="00F21340" w:rsidRDefault="00F21340" w:rsidP="00F21340">
      <w:pPr>
        <w:rPr>
          <w:lang w:val="en-US"/>
        </w:rPr>
      </w:pPr>
    </w:p>
    <w:sectPr w:rsidR="00F21340" w:rsidRPr="00F21340" w:rsidSect="00A348F8">
      <w:headerReference w:type="default" r:id="rId16"/>
      <w:footerReference w:type="default" r:id="rId17"/>
      <w:pgSz w:w="11906" w:h="16838"/>
      <w:pgMar w:top="1701" w:right="1531" w:bottom="1418" w:left="15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9481" w14:textId="77777777" w:rsidR="00D7695E" w:rsidRDefault="00D7695E" w:rsidP="00A562AD">
      <w:pPr>
        <w:spacing w:after="0" w:line="240" w:lineRule="auto"/>
      </w:pPr>
      <w:r>
        <w:separator/>
      </w:r>
    </w:p>
  </w:endnote>
  <w:endnote w:type="continuationSeparator" w:id="0">
    <w:p w14:paraId="54D02C19" w14:textId="77777777" w:rsidR="00D7695E" w:rsidRDefault="00D7695E" w:rsidP="00A5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681379"/>
      <w:docPartObj>
        <w:docPartGallery w:val="Page Numbers (Bottom of Page)"/>
        <w:docPartUnique/>
      </w:docPartObj>
    </w:sdtPr>
    <w:sdtContent>
      <w:sdt>
        <w:sdtPr>
          <w:id w:val="-1769616900"/>
          <w:docPartObj>
            <w:docPartGallery w:val="Page Numbers (Top of Page)"/>
            <w:docPartUnique/>
          </w:docPartObj>
        </w:sdtPr>
        <w:sdtContent>
          <w:p w14:paraId="4D3B084A" w14:textId="31308427" w:rsidR="00D3063C" w:rsidRDefault="007F67BE">
            <w:pPr>
              <w:pStyle w:val="Piedepgina"/>
              <w:jc w:val="right"/>
            </w:pPr>
            <w:r>
              <w:rPr>
                <w:noProof/>
              </w:rPr>
              <mc:AlternateContent>
                <mc:Choice Requires="wps">
                  <w:drawing>
                    <wp:anchor distT="0" distB="0" distL="114300" distR="114300" simplePos="0" relativeHeight="251662336" behindDoc="0" locked="0" layoutInCell="1" allowOverlap="1" wp14:anchorId="192BA2B3" wp14:editId="4903B0AE">
                      <wp:simplePos x="0" y="0"/>
                      <wp:positionH relativeFrom="column">
                        <wp:posOffset>-126035</wp:posOffset>
                      </wp:positionH>
                      <wp:positionV relativeFrom="paragraph">
                        <wp:posOffset>-116205</wp:posOffset>
                      </wp:positionV>
                      <wp:extent cx="559752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9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B28A9" id="Conector recto 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pt,-9.15pt" to="430.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" strokecolor="black [3200]" strokeweight=".5pt">
                      <v:stroke joinstyle="miter"/>
                    </v:line>
                  </w:pict>
                </mc:Fallback>
              </mc:AlternateContent>
            </w:r>
            <w:r w:rsidR="00D3063C">
              <w:t xml:space="preserve">Page </w:t>
            </w:r>
            <w:r w:rsidR="00D3063C">
              <w:rPr>
                <w:b/>
                <w:bCs/>
                <w:sz w:val="24"/>
                <w:szCs w:val="24"/>
              </w:rPr>
              <w:fldChar w:fldCharType="begin"/>
            </w:r>
            <w:r w:rsidR="00D3063C">
              <w:rPr>
                <w:b/>
                <w:bCs/>
              </w:rPr>
              <w:instrText>PAGE</w:instrText>
            </w:r>
            <w:r w:rsidR="00D3063C">
              <w:rPr>
                <w:b/>
                <w:bCs/>
                <w:sz w:val="24"/>
                <w:szCs w:val="24"/>
              </w:rPr>
              <w:fldChar w:fldCharType="separate"/>
            </w:r>
            <w:r w:rsidR="00D3063C">
              <w:rPr>
                <w:b/>
                <w:bCs/>
              </w:rPr>
              <w:t>2</w:t>
            </w:r>
            <w:r w:rsidR="00D3063C">
              <w:rPr>
                <w:b/>
                <w:bCs/>
                <w:sz w:val="24"/>
                <w:szCs w:val="24"/>
              </w:rPr>
              <w:fldChar w:fldCharType="end"/>
            </w:r>
            <w:r w:rsidR="00D3063C">
              <w:t xml:space="preserve"> of </w:t>
            </w:r>
            <w:r w:rsidR="00D3063C">
              <w:rPr>
                <w:b/>
                <w:bCs/>
                <w:sz w:val="24"/>
                <w:szCs w:val="24"/>
              </w:rPr>
              <w:fldChar w:fldCharType="begin"/>
            </w:r>
            <w:r w:rsidR="00D3063C">
              <w:rPr>
                <w:b/>
                <w:bCs/>
              </w:rPr>
              <w:instrText>NUMPAGES</w:instrText>
            </w:r>
            <w:r w:rsidR="00D3063C">
              <w:rPr>
                <w:b/>
                <w:bCs/>
                <w:sz w:val="24"/>
                <w:szCs w:val="24"/>
              </w:rPr>
              <w:fldChar w:fldCharType="separate"/>
            </w:r>
            <w:r w:rsidR="00D3063C">
              <w:rPr>
                <w:b/>
                <w:bCs/>
              </w:rPr>
              <w:t>2</w:t>
            </w:r>
            <w:r w:rsidR="00D3063C">
              <w:rPr>
                <w:b/>
                <w:bCs/>
                <w:sz w:val="24"/>
                <w:szCs w:val="24"/>
              </w:rPr>
              <w:fldChar w:fldCharType="end"/>
            </w:r>
          </w:p>
        </w:sdtContent>
      </w:sdt>
    </w:sdtContent>
  </w:sdt>
  <w:p w14:paraId="47554C98" w14:textId="5CD34CA7" w:rsidR="00CD1AAD" w:rsidRDefault="00CD1A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610C" w14:textId="77777777" w:rsidR="00D7695E" w:rsidRDefault="00D7695E" w:rsidP="00A562AD">
      <w:pPr>
        <w:spacing w:after="0" w:line="240" w:lineRule="auto"/>
      </w:pPr>
      <w:r>
        <w:separator/>
      </w:r>
    </w:p>
  </w:footnote>
  <w:footnote w:type="continuationSeparator" w:id="0">
    <w:p w14:paraId="189BC9DB" w14:textId="77777777" w:rsidR="00D7695E" w:rsidRDefault="00D7695E" w:rsidP="00A56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0717" w14:textId="336A1B9D" w:rsidR="00A562AD" w:rsidRPr="00A562AD" w:rsidRDefault="00A562AD" w:rsidP="00A562AD">
    <w:pPr>
      <w:jc w:val="right"/>
      <w:rPr>
        <w:lang w:val="en-US"/>
      </w:rPr>
    </w:pPr>
    <w:r>
      <w:rPr>
        <w:noProof/>
      </w:rPr>
      <mc:AlternateContent>
        <mc:Choice Requires="wps">
          <w:drawing>
            <wp:anchor distT="0" distB="0" distL="114300" distR="114300" simplePos="0" relativeHeight="251660288" behindDoc="0" locked="0" layoutInCell="1" allowOverlap="1" wp14:anchorId="7478D9BE" wp14:editId="5BF8DD50">
              <wp:simplePos x="0" y="0"/>
              <wp:positionH relativeFrom="column">
                <wp:posOffset>-89535</wp:posOffset>
              </wp:positionH>
              <wp:positionV relativeFrom="paragraph">
                <wp:posOffset>458470</wp:posOffset>
              </wp:positionV>
              <wp:extent cx="5597769"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55977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55E189" id="Conector recto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36.1pt" to="433.7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" strokecolor="black [3200]" strokeweight=".5pt">
              <v:stroke joinstyle="miter"/>
            </v:line>
          </w:pict>
        </mc:Fallback>
      </mc:AlternateContent>
    </w:r>
    <w:r>
      <w:rPr>
        <w:noProof/>
      </w:rPr>
      <w:drawing>
        <wp:anchor distT="0" distB="0" distL="114300" distR="114300" simplePos="0" relativeHeight="251659264" behindDoc="0" locked="0" layoutInCell="1" allowOverlap="1" wp14:anchorId="5AAB4931" wp14:editId="7334A852">
          <wp:simplePos x="0" y="0"/>
          <wp:positionH relativeFrom="margin">
            <wp:posOffset>-41031</wp:posOffset>
          </wp:positionH>
          <wp:positionV relativeFrom="paragraph">
            <wp:posOffset>-155234</wp:posOffset>
          </wp:positionV>
          <wp:extent cx="614477" cy="517847"/>
          <wp:effectExtent l="0" t="0" r="0" b="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4477" cy="517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7ED" w:rsidRPr="00BC47ED">
      <w:rPr>
        <w:lang w:val="en-US"/>
      </w:rPr>
      <w:t xml:space="preserve"> </w:t>
    </w:r>
    <w:r w:rsidR="00BC47ED" w:rsidRPr="00BC47ED">
      <w:rPr>
        <w:lang w:val="en-US"/>
      </w:rPr>
      <w:t xml:space="preserve">Effects of de-escalation phases on inter-province mobility patterns </w:t>
    </w:r>
    <w:r w:rsidR="00BC47ED">
      <w:rPr>
        <w:lang w:val="en-US"/>
      </w:rPr>
      <w:br/>
    </w:r>
    <w:r w:rsidR="00BC47ED" w:rsidRPr="00BC47ED">
      <w:rPr>
        <w:lang w:val="en-US"/>
      </w:rPr>
      <w:t>during June 2020 in Spain based on mobile phone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207"/>
    <w:multiLevelType w:val="hybridMultilevel"/>
    <w:tmpl w:val="924624AE"/>
    <w:lvl w:ilvl="0" w:tplc="0C0A000F">
      <w:start w:val="1"/>
      <w:numFmt w:val="decimal"/>
      <w:lvlText w:val="%1."/>
      <w:lvlJc w:val="left"/>
      <w:pPr>
        <w:ind w:left="791" w:hanging="360"/>
      </w:p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 w15:restartNumberingAfterBreak="0">
    <w:nsid w:val="10D327A1"/>
    <w:multiLevelType w:val="hybridMultilevel"/>
    <w:tmpl w:val="EE3E7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F53D96"/>
    <w:multiLevelType w:val="hybridMultilevel"/>
    <w:tmpl w:val="D672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8C549F"/>
    <w:multiLevelType w:val="hybridMultilevel"/>
    <w:tmpl w:val="334C5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516C27"/>
    <w:multiLevelType w:val="hybridMultilevel"/>
    <w:tmpl w:val="53FC3E52"/>
    <w:lvl w:ilvl="0" w:tplc="09DCA4B8">
      <w:start w:val="1"/>
      <w:numFmt w:val="decimal"/>
      <w:pStyle w:val="Ttulo4"/>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A5461F"/>
    <w:multiLevelType w:val="multilevel"/>
    <w:tmpl w:val="0CBA96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E454576"/>
    <w:multiLevelType w:val="hybridMultilevel"/>
    <w:tmpl w:val="F9828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434A49"/>
    <w:multiLevelType w:val="hybridMultilevel"/>
    <w:tmpl w:val="3C0A9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7425754">
    <w:abstractNumId w:val="5"/>
  </w:num>
  <w:num w:numId="2" w16cid:durableId="1410154521">
    <w:abstractNumId w:val="3"/>
  </w:num>
  <w:num w:numId="3" w16cid:durableId="1687906805">
    <w:abstractNumId w:val="2"/>
  </w:num>
  <w:num w:numId="4" w16cid:durableId="1744060655">
    <w:abstractNumId w:val="6"/>
  </w:num>
  <w:num w:numId="5" w16cid:durableId="1714306303">
    <w:abstractNumId w:val="4"/>
  </w:num>
  <w:num w:numId="6" w16cid:durableId="139732934">
    <w:abstractNumId w:val="1"/>
  </w:num>
  <w:num w:numId="7" w16cid:durableId="1737124670">
    <w:abstractNumId w:val="7"/>
  </w:num>
  <w:num w:numId="8" w16cid:durableId="74857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5D"/>
    <w:rsid w:val="00012F2E"/>
    <w:rsid w:val="00062C80"/>
    <w:rsid w:val="000746BC"/>
    <w:rsid w:val="000A4CC7"/>
    <w:rsid w:val="000A5D68"/>
    <w:rsid w:val="000A6DCC"/>
    <w:rsid w:val="000B4779"/>
    <w:rsid w:val="000D20C6"/>
    <w:rsid w:val="00114F75"/>
    <w:rsid w:val="0014266C"/>
    <w:rsid w:val="00144EC9"/>
    <w:rsid w:val="00163E75"/>
    <w:rsid w:val="001A2DA1"/>
    <w:rsid w:val="001A6042"/>
    <w:rsid w:val="001B1C34"/>
    <w:rsid w:val="001B6C26"/>
    <w:rsid w:val="001C130D"/>
    <w:rsid w:val="001E49E0"/>
    <w:rsid w:val="001F395E"/>
    <w:rsid w:val="001F7340"/>
    <w:rsid w:val="00204164"/>
    <w:rsid w:val="00213069"/>
    <w:rsid w:val="00224343"/>
    <w:rsid w:val="002A1994"/>
    <w:rsid w:val="002A7541"/>
    <w:rsid w:val="002B2224"/>
    <w:rsid w:val="002C4C13"/>
    <w:rsid w:val="002D0370"/>
    <w:rsid w:val="002E75AA"/>
    <w:rsid w:val="002F5401"/>
    <w:rsid w:val="00304744"/>
    <w:rsid w:val="00320BC9"/>
    <w:rsid w:val="0036671E"/>
    <w:rsid w:val="00370DD1"/>
    <w:rsid w:val="00387895"/>
    <w:rsid w:val="00387C74"/>
    <w:rsid w:val="003976FD"/>
    <w:rsid w:val="003A3888"/>
    <w:rsid w:val="003B1847"/>
    <w:rsid w:val="003B55E9"/>
    <w:rsid w:val="003B5EC8"/>
    <w:rsid w:val="003C5294"/>
    <w:rsid w:val="003F28D2"/>
    <w:rsid w:val="0042366C"/>
    <w:rsid w:val="00452B1D"/>
    <w:rsid w:val="004608AF"/>
    <w:rsid w:val="00466259"/>
    <w:rsid w:val="004679F8"/>
    <w:rsid w:val="0048159A"/>
    <w:rsid w:val="00482256"/>
    <w:rsid w:val="00485E78"/>
    <w:rsid w:val="004C6BDD"/>
    <w:rsid w:val="004C7A87"/>
    <w:rsid w:val="004E59FC"/>
    <w:rsid w:val="004F14B6"/>
    <w:rsid w:val="00512EF1"/>
    <w:rsid w:val="00517C19"/>
    <w:rsid w:val="005532AF"/>
    <w:rsid w:val="005567D5"/>
    <w:rsid w:val="00572ACB"/>
    <w:rsid w:val="00577E61"/>
    <w:rsid w:val="005B16B5"/>
    <w:rsid w:val="005B1D8D"/>
    <w:rsid w:val="005B740A"/>
    <w:rsid w:val="005B77EB"/>
    <w:rsid w:val="005C083B"/>
    <w:rsid w:val="005E22E4"/>
    <w:rsid w:val="00602474"/>
    <w:rsid w:val="00613D17"/>
    <w:rsid w:val="00640D69"/>
    <w:rsid w:val="00671D57"/>
    <w:rsid w:val="006C67B9"/>
    <w:rsid w:val="006F4A66"/>
    <w:rsid w:val="006F672B"/>
    <w:rsid w:val="0070110C"/>
    <w:rsid w:val="007314D1"/>
    <w:rsid w:val="00753276"/>
    <w:rsid w:val="0075596B"/>
    <w:rsid w:val="00775AF1"/>
    <w:rsid w:val="007B5C9E"/>
    <w:rsid w:val="007D2A53"/>
    <w:rsid w:val="007D67F7"/>
    <w:rsid w:val="007D7066"/>
    <w:rsid w:val="007E27BE"/>
    <w:rsid w:val="007F5144"/>
    <w:rsid w:val="007F58D7"/>
    <w:rsid w:val="007F67BE"/>
    <w:rsid w:val="00820E11"/>
    <w:rsid w:val="00843B55"/>
    <w:rsid w:val="00861A32"/>
    <w:rsid w:val="0086777C"/>
    <w:rsid w:val="008832C1"/>
    <w:rsid w:val="00885BF5"/>
    <w:rsid w:val="00885C7D"/>
    <w:rsid w:val="00892718"/>
    <w:rsid w:val="008A3659"/>
    <w:rsid w:val="008D24C5"/>
    <w:rsid w:val="0091040A"/>
    <w:rsid w:val="00930889"/>
    <w:rsid w:val="00954AFF"/>
    <w:rsid w:val="009666C2"/>
    <w:rsid w:val="00972678"/>
    <w:rsid w:val="00977AC1"/>
    <w:rsid w:val="00984E91"/>
    <w:rsid w:val="009868F7"/>
    <w:rsid w:val="00990756"/>
    <w:rsid w:val="009947B5"/>
    <w:rsid w:val="00A22DE6"/>
    <w:rsid w:val="00A348F8"/>
    <w:rsid w:val="00A43BB6"/>
    <w:rsid w:val="00A562AD"/>
    <w:rsid w:val="00A7634A"/>
    <w:rsid w:val="00A8477B"/>
    <w:rsid w:val="00A920FA"/>
    <w:rsid w:val="00AD7352"/>
    <w:rsid w:val="00B10790"/>
    <w:rsid w:val="00B1325D"/>
    <w:rsid w:val="00B13CDD"/>
    <w:rsid w:val="00B46CD4"/>
    <w:rsid w:val="00B515B1"/>
    <w:rsid w:val="00B53722"/>
    <w:rsid w:val="00B741CE"/>
    <w:rsid w:val="00BC47ED"/>
    <w:rsid w:val="00BC5653"/>
    <w:rsid w:val="00BC7FA0"/>
    <w:rsid w:val="00BD0703"/>
    <w:rsid w:val="00C06FF9"/>
    <w:rsid w:val="00C07922"/>
    <w:rsid w:val="00C07B9C"/>
    <w:rsid w:val="00C11114"/>
    <w:rsid w:val="00C223C1"/>
    <w:rsid w:val="00C3452D"/>
    <w:rsid w:val="00C34705"/>
    <w:rsid w:val="00C614E2"/>
    <w:rsid w:val="00C94025"/>
    <w:rsid w:val="00C97821"/>
    <w:rsid w:val="00CA0E73"/>
    <w:rsid w:val="00CC0C07"/>
    <w:rsid w:val="00CD1AAD"/>
    <w:rsid w:val="00CD39DA"/>
    <w:rsid w:val="00D002CA"/>
    <w:rsid w:val="00D05D00"/>
    <w:rsid w:val="00D11764"/>
    <w:rsid w:val="00D14355"/>
    <w:rsid w:val="00D3063C"/>
    <w:rsid w:val="00D479C2"/>
    <w:rsid w:val="00D61BD5"/>
    <w:rsid w:val="00D7695E"/>
    <w:rsid w:val="00D85078"/>
    <w:rsid w:val="00DB12DC"/>
    <w:rsid w:val="00DE6837"/>
    <w:rsid w:val="00E043B6"/>
    <w:rsid w:val="00E11BBB"/>
    <w:rsid w:val="00E26CBF"/>
    <w:rsid w:val="00E32710"/>
    <w:rsid w:val="00E51A1E"/>
    <w:rsid w:val="00E53CE1"/>
    <w:rsid w:val="00E630C6"/>
    <w:rsid w:val="00E7236A"/>
    <w:rsid w:val="00E76CBF"/>
    <w:rsid w:val="00E94865"/>
    <w:rsid w:val="00E971A7"/>
    <w:rsid w:val="00E97286"/>
    <w:rsid w:val="00EC0BFF"/>
    <w:rsid w:val="00EC6B58"/>
    <w:rsid w:val="00F164D0"/>
    <w:rsid w:val="00F21340"/>
    <w:rsid w:val="00F32FC1"/>
    <w:rsid w:val="00F833E2"/>
    <w:rsid w:val="00FA4767"/>
    <w:rsid w:val="00FC1C4A"/>
    <w:rsid w:val="00FE2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9AB4A"/>
  <w15:chartTrackingRefBased/>
  <w15:docId w15:val="{E26755DF-0AA8-4493-8259-720D4672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0C6"/>
    <w:pPr>
      <w:jc w:val="both"/>
    </w:pPr>
    <w:rPr>
      <w:rFonts w:ascii="Times New Roman" w:hAnsi="Times New Roman"/>
    </w:rPr>
  </w:style>
  <w:style w:type="paragraph" w:styleId="Ttulo1">
    <w:name w:val="heading 1"/>
    <w:basedOn w:val="Normal"/>
    <w:next w:val="Normal"/>
    <w:link w:val="Ttulo1Car"/>
    <w:uiPriority w:val="9"/>
    <w:qFormat/>
    <w:rsid w:val="000A4CC7"/>
    <w:pPr>
      <w:keepNext/>
      <w:keepLines/>
      <w:numPr>
        <w:numId w:val="1"/>
      </w:numPr>
      <w:pBdr>
        <w:bottom w:val="single" w:sz="4" w:space="1" w:color="auto"/>
      </w:pBdr>
      <w:spacing w:before="240" w:after="240"/>
      <w:outlineLvl w:val="0"/>
    </w:pPr>
    <w:rPr>
      <w:rFonts w:eastAsiaTheme="majorEastAsia" w:cstheme="majorBidi"/>
      <w:b/>
      <w:color w:val="806000" w:themeColor="accent4" w:themeShade="80"/>
      <w:sz w:val="36"/>
      <w:szCs w:val="32"/>
    </w:rPr>
  </w:style>
  <w:style w:type="paragraph" w:styleId="Ttulo2">
    <w:name w:val="heading 2"/>
    <w:basedOn w:val="Ttulo1"/>
    <w:next w:val="Normal"/>
    <w:link w:val="Ttulo2Car"/>
    <w:uiPriority w:val="9"/>
    <w:unhideWhenUsed/>
    <w:qFormat/>
    <w:rsid w:val="004F14B6"/>
    <w:pPr>
      <w:numPr>
        <w:ilvl w:val="1"/>
      </w:numPr>
      <w:pBdr>
        <w:bottom w:val="none" w:sz="0" w:space="0" w:color="auto"/>
      </w:pBdr>
      <w:outlineLvl w:val="1"/>
    </w:pPr>
    <w:rPr>
      <w:sz w:val="28"/>
    </w:rPr>
  </w:style>
  <w:style w:type="paragraph" w:styleId="Ttulo3">
    <w:name w:val="heading 3"/>
    <w:basedOn w:val="Normal"/>
    <w:next w:val="Normal"/>
    <w:link w:val="Ttulo3Car"/>
    <w:uiPriority w:val="9"/>
    <w:unhideWhenUsed/>
    <w:qFormat/>
    <w:rsid w:val="0070110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Prrafodelista"/>
    <w:next w:val="Normal"/>
    <w:link w:val="Ttulo4Car"/>
    <w:uiPriority w:val="9"/>
    <w:unhideWhenUsed/>
    <w:qFormat/>
    <w:rsid w:val="0075596B"/>
    <w:pPr>
      <w:numPr>
        <w:numId w:val="5"/>
      </w:numPr>
      <w:jc w:val="left"/>
      <w:outlineLvl w:val="3"/>
    </w:pPr>
    <w:rPr>
      <w:lang w:val="en-US"/>
    </w:rPr>
  </w:style>
  <w:style w:type="paragraph" w:styleId="Ttulo5">
    <w:name w:val="heading 5"/>
    <w:basedOn w:val="Normal"/>
    <w:next w:val="Normal"/>
    <w:link w:val="Ttulo5Car"/>
    <w:uiPriority w:val="9"/>
    <w:semiHidden/>
    <w:unhideWhenUsed/>
    <w:qFormat/>
    <w:rsid w:val="007011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011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011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011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011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CC7"/>
    <w:rPr>
      <w:rFonts w:eastAsiaTheme="majorEastAsia" w:cstheme="majorBidi"/>
      <w:b/>
      <w:color w:val="806000" w:themeColor="accent4" w:themeShade="80"/>
      <w:sz w:val="36"/>
      <w:szCs w:val="32"/>
    </w:rPr>
  </w:style>
  <w:style w:type="paragraph" w:styleId="Encabezado">
    <w:name w:val="header"/>
    <w:basedOn w:val="Normal"/>
    <w:link w:val="EncabezadoCar"/>
    <w:uiPriority w:val="99"/>
    <w:unhideWhenUsed/>
    <w:rsid w:val="00A56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2AD"/>
  </w:style>
  <w:style w:type="paragraph" w:styleId="Piedepgina">
    <w:name w:val="footer"/>
    <w:basedOn w:val="Normal"/>
    <w:link w:val="PiedepginaCar"/>
    <w:uiPriority w:val="99"/>
    <w:unhideWhenUsed/>
    <w:rsid w:val="00A56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2AD"/>
  </w:style>
  <w:style w:type="table" w:styleId="Tablaconcuadrcula">
    <w:name w:val="Table Grid"/>
    <w:basedOn w:val="Tablanormal"/>
    <w:uiPriority w:val="39"/>
    <w:rsid w:val="00A5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F14B6"/>
    <w:rPr>
      <w:rFonts w:eastAsiaTheme="majorEastAsia" w:cstheme="majorBidi"/>
      <w:b/>
      <w:color w:val="806000" w:themeColor="accent4" w:themeShade="80"/>
      <w:sz w:val="28"/>
      <w:szCs w:val="32"/>
    </w:rPr>
  </w:style>
  <w:style w:type="paragraph" w:styleId="Ttulo">
    <w:name w:val="Title"/>
    <w:basedOn w:val="Ttulo1"/>
    <w:next w:val="Normal"/>
    <w:link w:val="TtuloCar"/>
    <w:uiPriority w:val="10"/>
    <w:qFormat/>
    <w:rsid w:val="006F4A66"/>
    <w:pPr>
      <w:numPr>
        <w:numId w:val="0"/>
      </w:numPr>
      <w:pBdr>
        <w:bottom w:val="none" w:sz="0" w:space="0" w:color="auto"/>
      </w:pBdr>
      <w:outlineLvl w:val="8"/>
    </w:pPr>
    <w:rPr>
      <w:color w:val="auto"/>
      <w:sz w:val="48"/>
      <w:lang w:val="en-US"/>
    </w:rPr>
  </w:style>
  <w:style w:type="character" w:customStyle="1" w:styleId="TtuloCar">
    <w:name w:val="Título Car"/>
    <w:basedOn w:val="Fuentedeprrafopredeter"/>
    <w:link w:val="Ttulo"/>
    <w:uiPriority w:val="10"/>
    <w:rsid w:val="006F4A66"/>
    <w:rPr>
      <w:rFonts w:eastAsiaTheme="majorEastAsia" w:cstheme="majorBidi"/>
      <w:b/>
      <w:sz w:val="48"/>
      <w:szCs w:val="32"/>
      <w:lang w:val="en-US"/>
    </w:rPr>
  </w:style>
  <w:style w:type="paragraph" w:styleId="TtuloTDC">
    <w:name w:val="TOC Heading"/>
    <w:basedOn w:val="Ttulo1"/>
    <w:next w:val="Normal"/>
    <w:uiPriority w:val="39"/>
    <w:unhideWhenUsed/>
    <w:qFormat/>
    <w:rsid w:val="007D67F7"/>
    <w:pPr>
      <w:pBdr>
        <w:bottom w:val="none" w:sz="0" w:space="0" w:color="auto"/>
      </w:pBdr>
      <w:spacing w:after="0"/>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7D67F7"/>
    <w:pPr>
      <w:spacing w:after="100"/>
    </w:pPr>
  </w:style>
  <w:style w:type="paragraph" w:styleId="TDC2">
    <w:name w:val="toc 2"/>
    <w:basedOn w:val="Normal"/>
    <w:next w:val="Normal"/>
    <w:autoRedefine/>
    <w:uiPriority w:val="39"/>
    <w:unhideWhenUsed/>
    <w:rsid w:val="007D67F7"/>
    <w:pPr>
      <w:spacing w:after="100"/>
      <w:ind w:left="220"/>
    </w:pPr>
  </w:style>
  <w:style w:type="character" w:styleId="Hipervnculo">
    <w:name w:val="Hyperlink"/>
    <w:basedOn w:val="Fuentedeprrafopredeter"/>
    <w:uiPriority w:val="99"/>
    <w:unhideWhenUsed/>
    <w:rsid w:val="007D67F7"/>
    <w:rPr>
      <w:color w:val="0563C1" w:themeColor="hyperlink"/>
      <w:u w:val="single"/>
    </w:rPr>
  </w:style>
  <w:style w:type="character" w:customStyle="1" w:styleId="Ttulo3Car">
    <w:name w:val="Título 3 Car"/>
    <w:basedOn w:val="Fuentedeprrafopredeter"/>
    <w:link w:val="Ttulo3"/>
    <w:uiPriority w:val="9"/>
    <w:rsid w:val="0070110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596B"/>
    <w:rPr>
      <w:rFonts w:ascii="Times New Roman" w:hAnsi="Times New Roman"/>
      <w:lang w:val="en-US"/>
    </w:rPr>
  </w:style>
  <w:style w:type="character" w:customStyle="1" w:styleId="Ttulo5Car">
    <w:name w:val="Título 5 Car"/>
    <w:basedOn w:val="Fuentedeprrafopredeter"/>
    <w:link w:val="Ttulo5"/>
    <w:uiPriority w:val="9"/>
    <w:semiHidden/>
    <w:rsid w:val="0070110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0110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0110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011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0110C"/>
    <w:rPr>
      <w:rFonts w:asciiTheme="majorHAnsi" w:eastAsiaTheme="majorEastAsia" w:hAnsiTheme="majorHAnsi" w:cstheme="majorBidi"/>
      <w:i/>
      <w:iCs/>
      <w:color w:val="272727" w:themeColor="text1" w:themeTint="D8"/>
      <w:sz w:val="21"/>
      <w:szCs w:val="21"/>
    </w:rPr>
  </w:style>
  <w:style w:type="paragraph" w:customStyle="1" w:styleId="Titulosinlevel">
    <w:name w:val="Titulo sin level"/>
    <w:basedOn w:val="Ttulo1"/>
    <w:link w:val="TitulosinlevelCar"/>
    <w:qFormat/>
    <w:rsid w:val="006F4A66"/>
    <w:pPr>
      <w:numPr>
        <w:numId w:val="0"/>
      </w:numPr>
      <w:ind w:left="431"/>
      <w:outlineLvl w:val="8"/>
    </w:pPr>
  </w:style>
  <w:style w:type="paragraph" w:styleId="Prrafodelista">
    <w:name w:val="List Paragraph"/>
    <w:basedOn w:val="Normal"/>
    <w:uiPriority w:val="34"/>
    <w:qFormat/>
    <w:rsid w:val="00114F75"/>
    <w:pPr>
      <w:ind w:left="720"/>
      <w:contextualSpacing/>
    </w:pPr>
  </w:style>
  <w:style w:type="character" w:customStyle="1" w:styleId="TitulosinlevelCar">
    <w:name w:val="Titulo sin level Car"/>
    <w:basedOn w:val="Ttulo1Car"/>
    <w:link w:val="Titulosinlevel"/>
    <w:rsid w:val="006F4A66"/>
    <w:rPr>
      <w:rFonts w:eastAsiaTheme="majorEastAsia" w:cstheme="majorBidi"/>
      <w:b/>
      <w:color w:val="806000" w:themeColor="accent4" w:themeShade="80"/>
      <w:sz w:val="36"/>
      <w:szCs w:val="32"/>
    </w:rPr>
  </w:style>
  <w:style w:type="table" w:styleId="Tablanormal2">
    <w:name w:val="Plain Table 2"/>
    <w:basedOn w:val="Tablanormal"/>
    <w:uiPriority w:val="42"/>
    <w:rsid w:val="000D20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30474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B741CE"/>
    <w:rPr>
      <w:color w:val="605E5C"/>
      <w:shd w:val="clear" w:color="auto" w:fill="E1DFDD"/>
    </w:rPr>
  </w:style>
  <w:style w:type="paragraph" w:customStyle="1" w:styleId="Titulo4">
    <w:name w:val="Titulo 4"/>
    <w:basedOn w:val="Ttulo4"/>
    <w:link w:val="Titulo4Car"/>
    <w:qFormat/>
    <w:rsid w:val="0075596B"/>
    <w:pPr>
      <w:numPr>
        <w:ilvl w:val="3"/>
        <w:numId w:val="1"/>
      </w:numPr>
    </w:pPr>
  </w:style>
  <w:style w:type="character" w:styleId="Hipervnculovisitado">
    <w:name w:val="FollowedHyperlink"/>
    <w:basedOn w:val="Fuentedeprrafopredeter"/>
    <w:uiPriority w:val="99"/>
    <w:semiHidden/>
    <w:unhideWhenUsed/>
    <w:rsid w:val="0075596B"/>
    <w:rPr>
      <w:color w:val="954F72" w:themeColor="followedHyperlink"/>
      <w:u w:val="single"/>
    </w:rPr>
  </w:style>
  <w:style w:type="character" w:customStyle="1" w:styleId="Titulo4Car">
    <w:name w:val="Titulo 4 Car"/>
    <w:basedOn w:val="Ttulo4Car"/>
    <w:link w:val="Titulo4"/>
    <w:rsid w:val="0075596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241">
      <w:bodyDiv w:val="1"/>
      <w:marLeft w:val="0"/>
      <w:marRight w:val="0"/>
      <w:marTop w:val="0"/>
      <w:marBottom w:val="0"/>
      <w:divBdr>
        <w:top w:val="none" w:sz="0" w:space="0" w:color="auto"/>
        <w:left w:val="none" w:sz="0" w:space="0" w:color="auto"/>
        <w:bottom w:val="none" w:sz="0" w:space="0" w:color="auto"/>
        <w:right w:val="none" w:sz="0" w:space="0" w:color="auto"/>
      </w:divBdr>
    </w:div>
    <w:div w:id="1329360173">
      <w:bodyDiv w:val="1"/>
      <w:marLeft w:val="0"/>
      <w:marRight w:val="0"/>
      <w:marTop w:val="0"/>
      <w:marBottom w:val="0"/>
      <w:divBdr>
        <w:top w:val="none" w:sz="0" w:space="0" w:color="auto"/>
        <w:left w:val="none" w:sz="0" w:space="0" w:color="auto"/>
        <w:bottom w:val="none" w:sz="0" w:space="0" w:color="auto"/>
        <w:right w:val="none" w:sz="0" w:space="0" w:color="auto"/>
      </w:divBdr>
    </w:div>
    <w:div w:id="2106530112">
      <w:bodyDiv w:val="1"/>
      <w:marLeft w:val="0"/>
      <w:marRight w:val="0"/>
      <w:marTop w:val="0"/>
      <w:marBottom w:val="0"/>
      <w:divBdr>
        <w:top w:val="none" w:sz="0" w:space="0" w:color="auto"/>
        <w:left w:val="none" w:sz="0" w:space="0" w:color="auto"/>
        <w:bottom w:val="none" w:sz="0" w:space="0" w:color="auto"/>
        <w:right w:val="none" w:sz="0" w:space="0" w:color="auto"/>
      </w:divBdr>
    </w:div>
    <w:div w:id="21368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apgeog.2021.10252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26/sciadv.abc076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geosus.2020.03.005" TargetMode="External"/><Relationship Id="rId5" Type="http://schemas.openxmlformats.org/officeDocument/2006/relationships/webSettings" Target="webSettings.xml"/><Relationship Id="rId15" Type="http://schemas.openxmlformats.org/officeDocument/2006/relationships/hyperlink" Target="https://www.mitma.gob.es/ministerio/covid-19/evolucion-movilidad-big-data/opendata-movilida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moncloa.gob.es/consejodeministros/Paginas/enlaces/280420-enlace-desescalada.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3EB3-B671-4AB9-9B05-1589F200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7</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Pizarroso Gonzalo</dc:creator>
  <cp:keywords/>
  <dc:description/>
  <cp:lastModifiedBy>Jaime</cp:lastModifiedBy>
  <cp:revision>167</cp:revision>
  <dcterms:created xsi:type="dcterms:W3CDTF">2022-12-03T19:33:00Z</dcterms:created>
  <dcterms:modified xsi:type="dcterms:W3CDTF">2022-12-06T17:22:00Z</dcterms:modified>
</cp:coreProperties>
</file>