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6ED1E" w14:textId="77777777" w:rsidR="00BC3739" w:rsidRPr="00BC3739" w:rsidRDefault="00BC3739" w:rsidP="00BC3739">
      <w:pPr>
        <w:rPr>
          <w:sz w:val="28"/>
          <w:szCs w:val="28"/>
        </w:rPr>
      </w:pPr>
      <w:r w:rsidRPr="00BC3739">
        <w:rPr>
          <w:b/>
          <w:bCs/>
          <w:sz w:val="28"/>
          <w:szCs w:val="28"/>
        </w:rPr>
        <w:t>Automotive:</w:t>
      </w:r>
    </w:p>
    <w:p w14:paraId="6F935BB5" w14:textId="77777777" w:rsidR="00BC3739" w:rsidRPr="00BC3739" w:rsidRDefault="00BC3739" w:rsidP="00BC3739">
      <w:pPr>
        <w:rPr>
          <w:sz w:val="28"/>
          <w:szCs w:val="28"/>
        </w:rPr>
      </w:pPr>
      <w:r w:rsidRPr="00BC3739">
        <w:rPr>
          <w:sz w:val="28"/>
          <w:szCs w:val="28"/>
        </w:rPr>
        <w:t>Here are the recent launches and announcements from NVIDIA in the automotive segment, along with their dates:</w:t>
      </w:r>
    </w:p>
    <w:p w14:paraId="0332175C" w14:textId="00C86112" w:rsidR="00BC3739" w:rsidRPr="00BC3739" w:rsidRDefault="00BC3739" w:rsidP="00BC3739">
      <w:pPr>
        <w:rPr>
          <w:sz w:val="28"/>
          <w:szCs w:val="28"/>
        </w:rPr>
      </w:pPr>
      <w:r w:rsidRPr="00BC3739">
        <w:rPr>
          <w:sz w:val="28"/>
          <w:szCs w:val="28"/>
        </w:rPr>
        <w:t xml:space="preserve">January 6, 2025: At CES in Las Vegas, NVIDIA announced its expanded partnerships with major automotive players like Toyota, Aurora, and Continental. Toyota will integrate NVIDIA DRIVE AGX Orin and DriveOS into its </w:t>
      </w:r>
      <w:r w:rsidRPr="00BC3739">
        <w:rPr>
          <w:sz w:val="28"/>
          <w:szCs w:val="28"/>
        </w:rPr>
        <w:t>next generation</w:t>
      </w:r>
      <w:r w:rsidRPr="00BC3739">
        <w:rPr>
          <w:sz w:val="28"/>
          <w:szCs w:val="28"/>
        </w:rPr>
        <w:t xml:space="preserve"> vehicles12.</w:t>
      </w:r>
    </w:p>
    <w:p w14:paraId="33B6C76A" w14:textId="77777777" w:rsidR="00BC3739" w:rsidRPr="00BC3739" w:rsidRDefault="00BC3739" w:rsidP="00BC3739">
      <w:pPr>
        <w:rPr>
          <w:sz w:val="28"/>
          <w:szCs w:val="28"/>
        </w:rPr>
      </w:pPr>
      <w:r w:rsidRPr="00BC3739">
        <w:rPr>
          <w:sz w:val="28"/>
          <w:szCs w:val="28"/>
        </w:rPr>
        <w:t>January 6, 2025: NVIDIA also revealed a long-term strategic partnership with Aurora and Continental to deploy driverless trucks at scale, powered by NVIDIA DRIVE and integrated with the Aurora Driver2.</w:t>
      </w:r>
    </w:p>
    <w:p w14:paraId="060D00AF" w14:textId="77777777" w:rsidR="00BC3739" w:rsidRPr="00BC3739" w:rsidRDefault="00BC3739" w:rsidP="00BC3739">
      <w:pPr>
        <w:rPr>
          <w:sz w:val="28"/>
          <w:szCs w:val="28"/>
        </w:rPr>
      </w:pPr>
      <w:r w:rsidRPr="00BC3739">
        <w:rPr>
          <w:b/>
          <w:bCs/>
          <w:sz w:val="28"/>
          <w:szCs w:val="28"/>
        </w:rPr>
        <w:t>NVIDIA’s recent launches and partnerships in the automotive segment have significantly impacted its growth:</w:t>
      </w:r>
    </w:p>
    <w:p w14:paraId="3BDFF584" w14:textId="77777777" w:rsidR="00BC3739" w:rsidRPr="00BC3739" w:rsidRDefault="00BC3739" w:rsidP="00BC3739">
      <w:pPr>
        <w:rPr>
          <w:sz w:val="28"/>
          <w:szCs w:val="28"/>
        </w:rPr>
      </w:pPr>
      <w:r w:rsidRPr="00BC3739">
        <w:rPr>
          <w:sz w:val="28"/>
          <w:szCs w:val="28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C3739" w:rsidRPr="00BC3739" w14:paraId="4CF5E604" w14:textId="77777777" w:rsidTr="00BC373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0"/>
            </w:tblGrid>
            <w:tr w:rsidR="00BC3739" w:rsidRPr="00BC3739" w14:paraId="4A09182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80"/>
                  </w:tblGrid>
                  <w:tr w:rsidR="00BC3739" w:rsidRPr="00BC3739" w14:paraId="757002B9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9DAAEC9" w14:textId="77777777" w:rsidR="00BC3739" w:rsidRPr="00BC3739" w:rsidRDefault="00BC3739" w:rsidP="00BC3739">
                        <w:pPr>
                          <w:rPr>
                            <w:sz w:val="28"/>
                            <w:szCs w:val="28"/>
                          </w:rPr>
                        </w:pPr>
                        <w:r w:rsidRPr="00BC3739">
                          <w:rPr>
                            <w:b/>
                            <w:bCs/>
                            <w:sz w:val="28"/>
                            <w:szCs w:val="28"/>
                          </w:rPr>
                          <w:t>1. Revenue Growth</w:t>
                        </w:r>
                        <w:r w:rsidRPr="00BC3739">
                          <w:rPr>
                            <w:sz w:val="28"/>
                            <w:szCs w:val="28"/>
                          </w:rPr>
                          <w:t>: NVIDIA’s automotive and robotics segment saw a remarkable 103% year-on-year increase in revenue, reaching $570 million in the fourth quarter of the 2025 fiscal year</w:t>
                        </w:r>
                        <w:r w:rsidRPr="00BC3739">
                          <w:rPr>
                            <w:i/>
                            <w:iCs/>
                            <w:sz w:val="28"/>
                            <w:szCs w:val="28"/>
                          </w:rPr>
                          <w:t>1</w:t>
                        </w:r>
                        <w:r w:rsidRPr="00BC3739">
                          <w:rPr>
                            <w:sz w:val="28"/>
                            <w:szCs w:val="28"/>
                          </w:rPr>
                          <w:t>. This brought the segment’s total revenue for the fiscal year to $1.69 billion</w:t>
                        </w:r>
                        <w:r w:rsidRPr="00BC3739">
                          <w:rPr>
                            <w:i/>
                            <w:iCs/>
                            <w:sz w:val="28"/>
                            <w:szCs w:val="28"/>
                          </w:rPr>
                          <w:t>1</w:t>
                        </w:r>
                        <w:r w:rsidRPr="00BC3739">
                          <w:rPr>
                            <w:sz w:val="28"/>
                            <w:szCs w:val="28"/>
                          </w:rPr>
                          <w:t>.</w:t>
                        </w:r>
                      </w:p>
                    </w:tc>
                  </w:tr>
                  <w:tr w:rsidR="00BC3739" w:rsidRPr="00BC3739" w14:paraId="67A42215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5256BC4" w14:textId="77777777" w:rsidR="00BC3739" w:rsidRPr="00BC3739" w:rsidRDefault="00BC3739" w:rsidP="00BC3739">
                        <w:pPr>
                          <w:rPr>
                            <w:sz w:val="28"/>
                            <w:szCs w:val="28"/>
                          </w:rPr>
                        </w:pPr>
                        <w:r w:rsidRPr="00BC3739">
                          <w:rPr>
                            <w:b/>
                            <w:bCs/>
                            <w:sz w:val="28"/>
                            <w:szCs w:val="28"/>
                          </w:rPr>
                          <w:t>2. Market Position</w:t>
                        </w:r>
                        <w:r w:rsidRPr="00BC3739">
                          <w:rPr>
                            <w:sz w:val="28"/>
                            <w:szCs w:val="28"/>
                          </w:rPr>
                          <w:t>: The increasing adoption of NVIDIA’s AI-powered driver-assist systems and autonomous driving technologies has solidified its position in the autonomous vehicle market</w:t>
                        </w:r>
                        <w:r w:rsidRPr="00BC3739">
                          <w:rPr>
                            <w:i/>
                            <w:iCs/>
                            <w:sz w:val="28"/>
                            <w:szCs w:val="28"/>
                          </w:rPr>
                          <w:t>1</w:t>
                        </w:r>
                        <w:r w:rsidRPr="00BC3739">
                          <w:rPr>
                            <w:sz w:val="28"/>
                            <w:szCs w:val="28"/>
                          </w:rPr>
                          <w:t>. This is further supported by strategic partnerships with major automakers and technology companies</w:t>
                        </w:r>
                        <w:r w:rsidRPr="00BC3739">
                          <w:rPr>
                            <w:i/>
                            <w:iCs/>
                            <w:sz w:val="28"/>
                            <w:szCs w:val="28"/>
                          </w:rPr>
                          <w:t>2</w:t>
                        </w:r>
                        <w:r w:rsidRPr="00BC3739">
                          <w:rPr>
                            <w:sz w:val="28"/>
                            <w:szCs w:val="28"/>
                          </w:rPr>
                          <w:t>.</w:t>
                        </w:r>
                      </w:p>
                    </w:tc>
                  </w:tr>
                  <w:tr w:rsidR="00BC3739" w:rsidRPr="00BC3739" w14:paraId="3B7BF9DC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EBC5E57" w14:textId="77777777" w:rsidR="00BC3739" w:rsidRPr="00BC3739" w:rsidRDefault="00BC3739" w:rsidP="00BC3739">
                        <w:pPr>
                          <w:rPr>
                            <w:sz w:val="28"/>
                            <w:szCs w:val="28"/>
                          </w:rPr>
                        </w:pPr>
                        <w:r w:rsidRPr="00BC3739">
                          <w:rPr>
                            <w:b/>
                            <w:bCs/>
                            <w:sz w:val="28"/>
                            <w:szCs w:val="28"/>
                          </w:rPr>
                          <w:t>3. Future Projections</w:t>
                        </w:r>
                        <w:r w:rsidRPr="00BC3739">
                          <w:rPr>
                            <w:sz w:val="28"/>
                            <w:szCs w:val="28"/>
                          </w:rPr>
                          <w:t>: NVIDIA’s automotive business is projected to grow to $5 billion by 2026, indicating strong market potential and demand for its technologies</w:t>
                        </w:r>
                        <w:r w:rsidRPr="00BC3739">
                          <w:rPr>
                            <w:i/>
                            <w:iCs/>
                            <w:sz w:val="28"/>
                            <w:szCs w:val="28"/>
                          </w:rPr>
                          <w:t>3</w:t>
                        </w:r>
                        <w:r w:rsidRPr="00BC3739">
                          <w:rPr>
                            <w:sz w:val="28"/>
                            <w:szCs w:val="28"/>
                          </w:rPr>
                          <w:t>. This growth is driven by the company’s commitment to advancing autonomous vehicle technology and expanding its global automotive ecosystem</w:t>
                        </w:r>
                        <w:r w:rsidRPr="00BC3739">
                          <w:rPr>
                            <w:i/>
                            <w:iCs/>
                            <w:sz w:val="28"/>
                            <w:szCs w:val="28"/>
                          </w:rPr>
                          <w:t>3</w:t>
                        </w:r>
                        <w:r w:rsidRPr="00BC3739">
                          <w:rPr>
                            <w:sz w:val="28"/>
                            <w:szCs w:val="28"/>
                          </w:rPr>
                          <w:t>.</w:t>
                        </w:r>
                      </w:p>
                    </w:tc>
                  </w:tr>
                </w:tbl>
                <w:p w14:paraId="1E2D46FD" w14:textId="77777777" w:rsidR="00BC3739" w:rsidRPr="00BC3739" w:rsidRDefault="00BC3739" w:rsidP="00BC3739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59EF50A6" w14:textId="77777777" w:rsidR="00BC3739" w:rsidRPr="00BC3739" w:rsidRDefault="00BC3739" w:rsidP="00BC3739">
            <w:pPr>
              <w:rPr>
                <w:sz w:val="28"/>
                <w:szCs w:val="28"/>
              </w:rPr>
            </w:pPr>
          </w:p>
        </w:tc>
      </w:tr>
    </w:tbl>
    <w:p w14:paraId="2ECBF231" w14:textId="77777777" w:rsidR="00080735" w:rsidRDefault="00080735"/>
    <w:sectPr w:rsidR="00080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39"/>
    <w:rsid w:val="00033443"/>
    <w:rsid w:val="00080735"/>
    <w:rsid w:val="00BC3739"/>
    <w:rsid w:val="00DB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814D"/>
  <w15:chartTrackingRefBased/>
  <w15:docId w15:val="{E0BAD597-0D78-4F01-BB4C-18AA4E33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7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7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7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7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7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9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Jaivardhan Singh</dc:creator>
  <cp:keywords/>
  <dc:description/>
  <cp:lastModifiedBy>Rathore, Jaivardhan Singh</cp:lastModifiedBy>
  <cp:revision>1</cp:revision>
  <dcterms:created xsi:type="dcterms:W3CDTF">2025-03-10T08:30:00Z</dcterms:created>
  <dcterms:modified xsi:type="dcterms:W3CDTF">2025-03-10T08:30:00Z</dcterms:modified>
</cp:coreProperties>
</file>