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229DF" w14:textId="77777777" w:rsidR="00B73568" w:rsidRPr="00B73568" w:rsidRDefault="00B73568" w:rsidP="00B73568">
      <w:pPr>
        <w:rPr>
          <w:b/>
          <w:bCs/>
        </w:rPr>
      </w:pPr>
      <w:r w:rsidRPr="00B73568">
        <w:rPr>
          <w:b/>
          <w:bCs/>
        </w:rPr>
        <w:t>1. Short-Term Growth Rate for Fiscal Year 2026</w:t>
      </w:r>
    </w:p>
    <w:p w14:paraId="75FD2EA5" w14:textId="77777777" w:rsidR="00B73568" w:rsidRPr="00B73568" w:rsidRDefault="00B73568" w:rsidP="00B73568">
      <w:r w:rsidRPr="00B73568">
        <w:t>NVIDIA's revenue growth for fiscal year 2026 is subject to varying analyst opinions:</w:t>
      </w:r>
      <w:r w:rsidRPr="00B73568">
        <w:rPr>
          <w:rFonts w:ascii="Arial" w:hAnsi="Arial" w:cs="Arial"/>
        </w:rPr>
        <w:t>​</w:t>
      </w:r>
    </w:p>
    <w:p w14:paraId="0CF35998" w14:textId="0CECD47D" w:rsidR="00B73568" w:rsidRPr="00B73568" w:rsidRDefault="00B73568" w:rsidP="00B73568">
      <w:pPr>
        <w:numPr>
          <w:ilvl w:val="0"/>
          <w:numId w:val="1"/>
        </w:numPr>
      </w:pPr>
      <w:r w:rsidRPr="00B73568">
        <w:rPr>
          <w:b/>
          <w:bCs/>
        </w:rPr>
        <w:t>Optimistic Projections:</w:t>
      </w:r>
      <w:r w:rsidRPr="00B73568">
        <w:t xml:space="preserve"> Some analysts anticipate continued robust growth, with NVIDIA's revenue expected to grow by nearly 33% annually through 2026. </w:t>
      </w:r>
      <w:r w:rsidRPr="00B73568">
        <w:rPr>
          <w:rFonts w:ascii="Arial" w:hAnsi="Arial" w:cs="Arial"/>
        </w:rPr>
        <w:t>​</w:t>
      </w:r>
      <w:r w:rsidRPr="00B73568">
        <w:t xml:space="preserve"> </w:t>
      </w:r>
    </w:p>
    <w:p w14:paraId="6EC0D430" w14:textId="35A50D45" w:rsidR="00B73568" w:rsidRPr="00B73568" w:rsidRDefault="00B73568" w:rsidP="00B73568">
      <w:pPr>
        <w:numPr>
          <w:ilvl w:val="0"/>
          <w:numId w:val="1"/>
        </w:numPr>
      </w:pPr>
      <w:r w:rsidRPr="00B73568">
        <w:rPr>
          <w:b/>
          <w:bCs/>
        </w:rPr>
        <w:t>Cautious Outlooks:</w:t>
      </w:r>
      <w:r w:rsidRPr="00B73568">
        <w:t xml:space="preserve"> Conversely, certain analysts express skepticism about NVIDIA's growth trajectory, predicting that the chipmaker might not experience growth in 2026 due to potential peaking demand for GPUs and reduced AI spending by major customers. </w:t>
      </w:r>
      <w:r w:rsidRPr="00B73568">
        <w:rPr>
          <w:rFonts w:ascii="Arial" w:hAnsi="Arial" w:cs="Arial"/>
        </w:rPr>
        <w:t>​</w:t>
      </w:r>
      <w:r w:rsidRPr="00B73568">
        <w:t xml:space="preserve"> </w:t>
      </w:r>
    </w:p>
    <w:p w14:paraId="76992993" w14:textId="77777777" w:rsidR="00B73568" w:rsidRPr="00B73568" w:rsidRDefault="00B73568" w:rsidP="00B73568">
      <w:r w:rsidRPr="00B73568">
        <w:t>Given these differing perspectives, it's prudent to consider a balanced approach when estimating NVIDIA's short-term growth rate for fiscal year 2026.</w:t>
      </w:r>
      <w:r w:rsidRPr="00B73568">
        <w:rPr>
          <w:rFonts w:ascii="Arial" w:hAnsi="Arial" w:cs="Arial"/>
        </w:rPr>
        <w:t>​</w:t>
      </w:r>
    </w:p>
    <w:p w14:paraId="6CDCDB38" w14:textId="77777777" w:rsidR="00B73568" w:rsidRPr="00B73568" w:rsidRDefault="00B73568" w:rsidP="00B73568">
      <w:pPr>
        <w:rPr>
          <w:b/>
          <w:bCs/>
        </w:rPr>
      </w:pPr>
      <w:r w:rsidRPr="00B73568">
        <w:rPr>
          <w:b/>
          <w:bCs/>
        </w:rPr>
        <w:t>2. Perpetual Growth Rate in DCF Models</w:t>
      </w:r>
    </w:p>
    <w:p w14:paraId="6FD2E60E" w14:textId="619DE802" w:rsidR="00B73568" w:rsidRPr="00B73568" w:rsidRDefault="00B73568" w:rsidP="00B73568">
      <w:r w:rsidRPr="00B73568">
        <w:t xml:space="preserve">The </w:t>
      </w:r>
      <w:r w:rsidRPr="00B73568">
        <w:rPr>
          <w:b/>
          <w:bCs/>
        </w:rPr>
        <w:t>perpetual growth rate</w:t>
      </w:r>
      <w:r w:rsidRPr="00B73568">
        <w:t xml:space="preserve"> represents the constant rate at which a company's free cash </w:t>
      </w:r>
      <w:proofErr w:type="gramStart"/>
      <w:r w:rsidRPr="00B73568">
        <w:t>flows are</w:t>
      </w:r>
      <w:proofErr w:type="gramEnd"/>
      <w:r w:rsidRPr="00B73568">
        <w:t xml:space="preserve"> expected to grow indefinitely beyond the explicit forecast period in a DCF model. This rate is typically conservative, often </w:t>
      </w:r>
      <w:r w:rsidRPr="00B73568">
        <w:t>aligned</w:t>
      </w:r>
      <w:r w:rsidRPr="00B73568">
        <w:t xml:space="preserve"> with long-term economic growth rates.</w:t>
      </w:r>
      <w:r w:rsidRPr="00B73568">
        <w:rPr>
          <w:rFonts w:ascii="Arial" w:hAnsi="Arial" w:cs="Arial"/>
        </w:rPr>
        <w:t>​</w:t>
      </w:r>
    </w:p>
    <w:p w14:paraId="08D0AAE3" w14:textId="77777777" w:rsidR="00B73568" w:rsidRPr="00B73568" w:rsidRDefault="00B73568" w:rsidP="00B73568">
      <w:r w:rsidRPr="00B73568">
        <w:t>For NVIDIA, various DCF analyses have employed different perpetual growth rates:</w:t>
      </w:r>
      <w:r w:rsidRPr="00B73568">
        <w:rPr>
          <w:rFonts w:ascii="Arial" w:hAnsi="Arial" w:cs="Arial"/>
        </w:rPr>
        <w:t>​</w:t>
      </w:r>
    </w:p>
    <w:p w14:paraId="48388D6C" w14:textId="6918F8F8" w:rsidR="00B73568" w:rsidRPr="00B73568" w:rsidRDefault="00B73568" w:rsidP="00B73568">
      <w:pPr>
        <w:numPr>
          <w:ilvl w:val="0"/>
          <w:numId w:val="2"/>
        </w:numPr>
      </w:pPr>
      <w:r w:rsidRPr="00B73568">
        <w:rPr>
          <w:b/>
          <w:bCs/>
        </w:rPr>
        <w:t>ValueInvesting.io</w:t>
      </w:r>
      <w:r w:rsidRPr="00B73568">
        <w:t xml:space="preserve"> utilized a long-term growth rate of 4.0% in their DCF valuation of NVIDIA. </w:t>
      </w:r>
      <w:r w:rsidRPr="00B73568">
        <w:rPr>
          <w:rFonts w:ascii="Arial" w:hAnsi="Arial" w:cs="Arial"/>
        </w:rPr>
        <w:t>​</w:t>
      </w:r>
      <w:r w:rsidRPr="00B73568">
        <w:t xml:space="preserve"> </w:t>
      </w:r>
    </w:p>
    <w:p w14:paraId="2D4D23F1" w14:textId="77777777" w:rsidR="00B73568" w:rsidRDefault="00B73568" w:rsidP="00712800">
      <w:pPr>
        <w:numPr>
          <w:ilvl w:val="0"/>
          <w:numId w:val="2"/>
        </w:numPr>
      </w:pPr>
      <w:r w:rsidRPr="00B73568">
        <w:rPr>
          <w:b/>
          <w:bCs/>
        </w:rPr>
        <w:t>Wall Street Prep</w:t>
      </w:r>
      <w:r w:rsidRPr="00B73568">
        <w:t xml:space="preserve"> conducted a DCF valuation for NVIDIA, though the specific perpetual growth rate used is not detailed in the available summary. </w:t>
      </w:r>
      <w:r w:rsidRPr="00B73568">
        <w:rPr>
          <w:rFonts w:ascii="Arial" w:hAnsi="Arial" w:cs="Arial"/>
        </w:rPr>
        <w:t>​</w:t>
      </w:r>
    </w:p>
    <w:p w14:paraId="6B85C3AB" w14:textId="3D20C5B2" w:rsidR="00B73568" w:rsidRPr="00B73568" w:rsidRDefault="00B73568" w:rsidP="00712800">
      <w:pPr>
        <w:numPr>
          <w:ilvl w:val="0"/>
          <w:numId w:val="2"/>
        </w:numPr>
      </w:pPr>
      <w:r w:rsidRPr="00B73568">
        <w:t xml:space="preserve"> </w:t>
      </w:r>
      <w:r w:rsidRPr="00B73568">
        <w:t>In practice, perpetual growth rates in DCF models typically range between 2% and 4%, reflecting long-term GDP growth and inflation expectations. Selecting an appropriate rate within this range depends on factors such as the company's market position, industry prospects, and overall economic conditions.</w:t>
      </w:r>
    </w:p>
    <w:p w14:paraId="13A76A39" w14:textId="77777777" w:rsidR="003E1F63" w:rsidRDefault="003E1F63"/>
    <w:sectPr w:rsidR="003E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A4145"/>
    <w:multiLevelType w:val="multilevel"/>
    <w:tmpl w:val="5E1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41E98"/>
    <w:multiLevelType w:val="multilevel"/>
    <w:tmpl w:val="E31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202827">
    <w:abstractNumId w:val="0"/>
  </w:num>
  <w:num w:numId="2" w16cid:durableId="1540126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68"/>
    <w:rsid w:val="003B3CF1"/>
    <w:rsid w:val="003E1F63"/>
    <w:rsid w:val="00B02951"/>
    <w:rsid w:val="00B73568"/>
    <w:rsid w:val="00D9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9427"/>
  <w15:chartTrackingRefBased/>
  <w15:docId w15:val="{97542B86-4965-43D8-83E4-31E7B63C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568"/>
    <w:rPr>
      <w:rFonts w:eastAsiaTheme="majorEastAsia" w:cstheme="majorBidi"/>
      <w:color w:val="272727" w:themeColor="text1" w:themeTint="D8"/>
    </w:rPr>
  </w:style>
  <w:style w:type="paragraph" w:styleId="Title">
    <w:name w:val="Title"/>
    <w:basedOn w:val="Normal"/>
    <w:next w:val="Normal"/>
    <w:link w:val="TitleChar"/>
    <w:uiPriority w:val="10"/>
    <w:qFormat/>
    <w:rsid w:val="00B73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568"/>
    <w:pPr>
      <w:spacing w:before="160"/>
      <w:jc w:val="center"/>
    </w:pPr>
    <w:rPr>
      <w:i/>
      <w:iCs/>
      <w:color w:val="404040" w:themeColor="text1" w:themeTint="BF"/>
    </w:rPr>
  </w:style>
  <w:style w:type="character" w:customStyle="1" w:styleId="QuoteChar">
    <w:name w:val="Quote Char"/>
    <w:basedOn w:val="DefaultParagraphFont"/>
    <w:link w:val="Quote"/>
    <w:uiPriority w:val="29"/>
    <w:rsid w:val="00B73568"/>
    <w:rPr>
      <w:i/>
      <w:iCs/>
      <w:color w:val="404040" w:themeColor="text1" w:themeTint="BF"/>
    </w:rPr>
  </w:style>
  <w:style w:type="paragraph" w:styleId="ListParagraph">
    <w:name w:val="List Paragraph"/>
    <w:basedOn w:val="Normal"/>
    <w:uiPriority w:val="34"/>
    <w:qFormat/>
    <w:rsid w:val="00B73568"/>
    <w:pPr>
      <w:ind w:left="720"/>
      <w:contextualSpacing/>
    </w:pPr>
  </w:style>
  <w:style w:type="character" w:styleId="IntenseEmphasis">
    <w:name w:val="Intense Emphasis"/>
    <w:basedOn w:val="DefaultParagraphFont"/>
    <w:uiPriority w:val="21"/>
    <w:qFormat/>
    <w:rsid w:val="00B73568"/>
    <w:rPr>
      <w:i/>
      <w:iCs/>
      <w:color w:val="0F4761" w:themeColor="accent1" w:themeShade="BF"/>
    </w:rPr>
  </w:style>
  <w:style w:type="paragraph" w:styleId="IntenseQuote">
    <w:name w:val="Intense Quote"/>
    <w:basedOn w:val="Normal"/>
    <w:next w:val="Normal"/>
    <w:link w:val="IntenseQuoteChar"/>
    <w:uiPriority w:val="30"/>
    <w:qFormat/>
    <w:rsid w:val="00B73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568"/>
    <w:rPr>
      <w:i/>
      <w:iCs/>
      <w:color w:val="0F4761" w:themeColor="accent1" w:themeShade="BF"/>
    </w:rPr>
  </w:style>
  <w:style w:type="character" w:styleId="IntenseReference">
    <w:name w:val="Intense Reference"/>
    <w:basedOn w:val="DefaultParagraphFont"/>
    <w:uiPriority w:val="32"/>
    <w:qFormat/>
    <w:rsid w:val="00B73568"/>
    <w:rPr>
      <w:b/>
      <w:bCs/>
      <w:smallCaps/>
      <w:color w:val="0F4761" w:themeColor="accent1" w:themeShade="BF"/>
      <w:spacing w:val="5"/>
    </w:rPr>
  </w:style>
  <w:style w:type="character" w:styleId="Hyperlink">
    <w:name w:val="Hyperlink"/>
    <w:basedOn w:val="DefaultParagraphFont"/>
    <w:uiPriority w:val="99"/>
    <w:unhideWhenUsed/>
    <w:rsid w:val="00B73568"/>
    <w:rPr>
      <w:color w:val="467886" w:themeColor="hyperlink"/>
      <w:u w:val="single"/>
    </w:rPr>
  </w:style>
  <w:style w:type="character" w:styleId="UnresolvedMention">
    <w:name w:val="Unresolved Mention"/>
    <w:basedOn w:val="DefaultParagraphFont"/>
    <w:uiPriority w:val="99"/>
    <w:semiHidden/>
    <w:unhideWhenUsed/>
    <w:rsid w:val="00B73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6114">
      <w:bodyDiv w:val="1"/>
      <w:marLeft w:val="0"/>
      <w:marRight w:val="0"/>
      <w:marTop w:val="0"/>
      <w:marBottom w:val="0"/>
      <w:divBdr>
        <w:top w:val="none" w:sz="0" w:space="0" w:color="auto"/>
        <w:left w:val="none" w:sz="0" w:space="0" w:color="auto"/>
        <w:bottom w:val="none" w:sz="0" w:space="0" w:color="auto"/>
        <w:right w:val="none" w:sz="0" w:space="0" w:color="auto"/>
      </w:divBdr>
    </w:div>
    <w:div w:id="117206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Kaviyaa</dc:creator>
  <cp:keywords/>
  <dc:description/>
  <cp:lastModifiedBy>Annamalai, Kaviyaa</cp:lastModifiedBy>
  <cp:revision>1</cp:revision>
  <dcterms:created xsi:type="dcterms:W3CDTF">2025-03-26T02:19:00Z</dcterms:created>
  <dcterms:modified xsi:type="dcterms:W3CDTF">2025-03-26T02:21:00Z</dcterms:modified>
</cp:coreProperties>
</file>