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49820" w14:textId="77777777" w:rsidR="00CF4871" w:rsidRPr="00CF4871" w:rsidRDefault="00CF4871" w:rsidP="00CF4871">
      <w:r w:rsidRPr="00CF4871">
        <w:t>NVIDIA employs several key strategies to sustain and drive its growth:</w:t>
      </w:r>
    </w:p>
    <w:p w14:paraId="63CCEFAB" w14:textId="77777777" w:rsidR="00CF4871" w:rsidRPr="00CF4871" w:rsidRDefault="00CF4871" w:rsidP="00CF4871">
      <w:pPr>
        <w:rPr>
          <w:b/>
          <w:bCs/>
        </w:rPr>
      </w:pPr>
      <w:r w:rsidRPr="00CF4871">
        <w:rPr>
          <w:b/>
          <w:bCs/>
        </w:rPr>
        <w:t>1. Innovative Leadership</w:t>
      </w:r>
    </w:p>
    <w:p w14:paraId="71447BFA" w14:textId="4FC26318" w:rsidR="00CF4871" w:rsidRPr="00CF4871" w:rsidRDefault="00CF4871" w:rsidP="00CF4871">
      <w:r w:rsidRPr="00CF4871">
        <w:t>NVIDIA continues to lead in GPU and AI technologies, setting industry benchmarks and maintaining a strong brand reputation</w:t>
      </w:r>
    </w:p>
    <w:p w14:paraId="6B550CEB" w14:textId="77777777" w:rsidR="00CF4871" w:rsidRPr="00CF4871" w:rsidRDefault="00CF4871" w:rsidP="00CF4871">
      <w:pPr>
        <w:rPr>
          <w:b/>
          <w:bCs/>
        </w:rPr>
      </w:pPr>
      <w:r w:rsidRPr="00CF4871">
        <w:rPr>
          <w:b/>
          <w:bCs/>
        </w:rPr>
        <w:t>2. Diversified Portfolio</w:t>
      </w:r>
    </w:p>
    <w:p w14:paraId="38DD912D" w14:textId="77777777" w:rsidR="00CF4871" w:rsidRPr="00CF4871" w:rsidRDefault="00CF4871" w:rsidP="00CF4871">
      <w:r w:rsidRPr="00CF4871">
        <w:t>NVIDIA's product range spans multiple sectors, including gaming, data centers, automotive, healthcare, and 5G. This diversification reduces reliance on any single market and taps into various growth opportunities</w:t>
      </w:r>
    </w:p>
    <w:p w14:paraId="42A395A9" w14:textId="4752E1CF" w:rsidR="00CF4871" w:rsidRPr="00CF4871" w:rsidRDefault="00CF4871" w:rsidP="00CF4871"/>
    <w:p w14:paraId="18B158E0" w14:textId="77777777" w:rsidR="00CF4871" w:rsidRPr="00CF4871" w:rsidRDefault="00CF4871" w:rsidP="00CF4871">
      <w:pPr>
        <w:rPr>
          <w:b/>
          <w:bCs/>
        </w:rPr>
      </w:pPr>
      <w:r w:rsidRPr="00CF4871">
        <w:rPr>
          <w:b/>
          <w:bCs/>
        </w:rPr>
        <w:t>3. Strong Ecosystem</w:t>
      </w:r>
    </w:p>
    <w:p w14:paraId="66AB531A" w14:textId="77777777" w:rsidR="00CF4871" w:rsidRPr="00CF4871" w:rsidRDefault="00CF4871" w:rsidP="00CF4871">
      <w:r w:rsidRPr="00CF4871">
        <w:t>Platforms like CUDA (Compute Unified Device Architecture) and NVIDIA Studio foster a developer-friendly environment, encouraging software and hardware integration</w:t>
      </w:r>
    </w:p>
    <w:p w14:paraId="768B1F90" w14:textId="1F5E92A2" w:rsidR="00CF4871" w:rsidRPr="00CF4871" w:rsidRDefault="00CF4871" w:rsidP="00CF4871"/>
    <w:p w14:paraId="5246C814" w14:textId="77777777" w:rsidR="00CF4871" w:rsidRPr="00CF4871" w:rsidRDefault="00CF4871" w:rsidP="00CF4871">
      <w:pPr>
        <w:rPr>
          <w:b/>
          <w:bCs/>
        </w:rPr>
      </w:pPr>
      <w:r w:rsidRPr="00CF4871">
        <w:rPr>
          <w:b/>
          <w:bCs/>
        </w:rPr>
        <w:t>4. Strategic Partnerships</w:t>
      </w:r>
    </w:p>
    <w:p w14:paraId="00768F58" w14:textId="77777777" w:rsidR="00CF4871" w:rsidRPr="00CF4871" w:rsidRDefault="00CF4871" w:rsidP="00CF4871">
      <w:r w:rsidRPr="00CF4871">
        <w:t>Collaborations with tech giants, startups, and industry-specific sectors fuel growth and technological advancements. These partnerships help NVIDIA stay at the forefront of innovation</w:t>
      </w:r>
    </w:p>
    <w:p w14:paraId="6298714C" w14:textId="7821057B" w:rsidR="00CF4871" w:rsidRPr="00CF4871" w:rsidRDefault="00CF4871" w:rsidP="00CF4871"/>
    <w:p w14:paraId="0D3F6B1F" w14:textId="77777777" w:rsidR="00CF4871" w:rsidRPr="00CF4871" w:rsidRDefault="00CF4871" w:rsidP="00CF4871">
      <w:pPr>
        <w:rPr>
          <w:b/>
          <w:bCs/>
        </w:rPr>
      </w:pPr>
      <w:r w:rsidRPr="00CF4871">
        <w:rPr>
          <w:b/>
          <w:bCs/>
        </w:rPr>
        <w:t>5. Research and Development (R&amp;D) Focus</w:t>
      </w:r>
    </w:p>
    <w:p w14:paraId="54FD3710" w14:textId="77777777" w:rsidR="00CF4871" w:rsidRPr="00CF4871" w:rsidRDefault="00CF4871" w:rsidP="00CF4871">
      <w:r w:rsidRPr="00CF4871">
        <w:t>NVIDIA invests significantly in R&amp;D to drive innovation in AI, quantum computing, and sustainability efforts. This focus on cutting-edge technologies ensures they remain competitive and can capitalize on emerging trends</w:t>
      </w:r>
    </w:p>
    <w:p w14:paraId="11364080" w14:textId="672E8DCE" w:rsidR="00CF4871" w:rsidRPr="00CF4871" w:rsidRDefault="00CF4871" w:rsidP="00CF4871"/>
    <w:p w14:paraId="69552040" w14:textId="625B6495" w:rsidR="00CF4871" w:rsidRPr="00CF4871" w:rsidRDefault="00CF4871" w:rsidP="00CF4871"/>
    <w:p w14:paraId="01C32879" w14:textId="77777777" w:rsidR="00CF4871" w:rsidRPr="00CF4871" w:rsidRDefault="00CF4871" w:rsidP="00CF4871">
      <w:pPr>
        <w:rPr>
          <w:b/>
          <w:bCs/>
        </w:rPr>
      </w:pPr>
      <w:r w:rsidRPr="00CF4871">
        <w:rPr>
          <w:b/>
          <w:bCs/>
        </w:rPr>
        <w:t>6. Market Expansion</w:t>
      </w:r>
    </w:p>
    <w:p w14:paraId="36F448AE" w14:textId="77777777" w:rsidR="00CF4871" w:rsidRPr="00CF4871" w:rsidRDefault="00CF4871" w:rsidP="00CF4871">
      <w:r w:rsidRPr="00CF4871">
        <w:t>NVIDIA is expanding its presence in emerging markets like AI, VR/AR, edge computing, and 5G. These areas offer substantial growth potential and align with the future of technology</w:t>
      </w:r>
    </w:p>
    <w:p w14:paraId="734D5F50" w14:textId="43AD1715" w:rsidR="00CF4871" w:rsidRPr="00CF4871" w:rsidRDefault="00CF4871" w:rsidP="00CF4871"/>
    <w:p w14:paraId="7A4E76E5" w14:textId="77777777" w:rsidR="00CF4871" w:rsidRPr="00CF4871" w:rsidRDefault="00CF4871" w:rsidP="00CF4871">
      <w:pPr>
        <w:rPr>
          <w:b/>
          <w:bCs/>
        </w:rPr>
      </w:pPr>
      <w:r w:rsidRPr="00CF4871">
        <w:rPr>
          <w:b/>
          <w:bCs/>
        </w:rPr>
        <w:t>7. Customer-Centric Approach</w:t>
      </w:r>
    </w:p>
    <w:p w14:paraId="2F3432B1" w14:textId="77777777" w:rsidR="00CF4871" w:rsidRPr="00CF4871" w:rsidRDefault="00CF4871" w:rsidP="00CF4871">
      <w:r w:rsidRPr="00CF4871">
        <w:lastRenderedPageBreak/>
        <w:t>NVIDIA prioritizes customer needs and feedback, continuously improving its products and services to meet market demands and enhance user experience</w:t>
      </w:r>
    </w:p>
    <w:p w14:paraId="3643673C" w14:textId="651B6B26" w:rsidR="00CF4871" w:rsidRPr="00CF4871" w:rsidRDefault="00CF4871" w:rsidP="00CF4871"/>
    <w:p w14:paraId="52DC4363" w14:textId="77777777" w:rsidR="00CF4871" w:rsidRPr="00CF4871" w:rsidRDefault="00CF4871" w:rsidP="00CF4871">
      <w:r w:rsidRPr="00CF4871">
        <w:t>These strategies collectively position NVIDIA for sustained growth and innovation across various technology sectors.</w:t>
      </w:r>
    </w:p>
    <w:p w14:paraId="105277E5" w14:textId="77777777" w:rsidR="00E04D51" w:rsidRDefault="00E04D51"/>
    <w:p w14:paraId="4E4A534C" w14:textId="77777777" w:rsidR="00CF4871" w:rsidRPr="00CF4871" w:rsidRDefault="00CF4871" w:rsidP="00CF4871">
      <w:r w:rsidRPr="00CF4871">
        <w:t>Certainly! Here are some specific numbers illustrating the impact of NVIDIA's R&amp;D investments on their financial ratios:</w:t>
      </w:r>
    </w:p>
    <w:p w14:paraId="146A7409" w14:textId="77777777" w:rsidR="00CF4871" w:rsidRPr="00CF4871" w:rsidRDefault="00CF4871" w:rsidP="00CF4871">
      <w:pPr>
        <w:rPr>
          <w:b/>
          <w:bCs/>
        </w:rPr>
      </w:pPr>
      <w:r w:rsidRPr="00CF4871">
        <w:rPr>
          <w:b/>
          <w:bCs/>
        </w:rPr>
        <w:t>R&amp;D Expenses</w:t>
      </w:r>
    </w:p>
    <w:p w14:paraId="52F2468C" w14:textId="77777777" w:rsidR="00CF4871" w:rsidRPr="00CF4871" w:rsidRDefault="00CF4871" w:rsidP="00CF4871">
      <w:pPr>
        <w:numPr>
          <w:ilvl w:val="0"/>
          <w:numId w:val="1"/>
        </w:numPr>
      </w:pPr>
      <w:r w:rsidRPr="00CF4871">
        <w:rPr>
          <w:b/>
          <w:bCs/>
        </w:rPr>
        <w:t>2025</w:t>
      </w:r>
      <w:r w:rsidRPr="00CF4871">
        <w:t>: $12.914 billion, a 48.86% increase from 2024</w:t>
      </w:r>
    </w:p>
    <w:p w14:paraId="37853406" w14:textId="6FC8E920" w:rsidR="00CF4871" w:rsidRPr="00CF4871" w:rsidRDefault="00CF4871" w:rsidP="00CF4871"/>
    <w:p w14:paraId="0C299257" w14:textId="77777777" w:rsidR="00CF4871" w:rsidRPr="00CF4871" w:rsidRDefault="00CF4871" w:rsidP="00CF4871">
      <w:pPr>
        <w:numPr>
          <w:ilvl w:val="0"/>
          <w:numId w:val="1"/>
        </w:numPr>
      </w:pPr>
      <w:r w:rsidRPr="00CF4871">
        <w:rPr>
          <w:b/>
          <w:bCs/>
        </w:rPr>
        <w:t>2024</w:t>
      </w:r>
      <w:r w:rsidRPr="00CF4871">
        <w:t>: $8.675 billion, an 18.2% increase from 2023</w:t>
      </w:r>
    </w:p>
    <w:p w14:paraId="706F679A" w14:textId="0A1A13ED" w:rsidR="00CF4871" w:rsidRPr="00CF4871" w:rsidRDefault="00CF4871" w:rsidP="00CF4871"/>
    <w:p w14:paraId="7CE667D7" w14:textId="77777777" w:rsidR="00CF4871" w:rsidRPr="00CF4871" w:rsidRDefault="00CF4871" w:rsidP="00CF4871">
      <w:pPr>
        <w:numPr>
          <w:ilvl w:val="0"/>
          <w:numId w:val="1"/>
        </w:numPr>
      </w:pPr>
      <w:r w:rsidRPr="00CF4871">
        <w:rPr>
          <w:b/>
          <w:bCs/>
        </w:rPr>
        <w:t>2023</w:t>
      </w:r>
      <w:r w:rsidRPr="00CF4871">
        <w:t>: $7.339 billion, a 39.31% increase from 2022</w:t>
      </w:r>
    </w:p>
    <w:p w14:paraId="367CCBCA" w14:textId="0F440640" w:rsidR="00CF4871" w:rsidRPr="00CF4871" w:rsidRDefault="00CF4871" w:rsidP="00CF4871"/>
    <w:p w14:paraId="6CA2D826" w14:textId="77777777" w:rsidR="00CF4871" w:rsidRPr="00CF4871" w:rsidRDefault="00CF4871" w:rsidP="00CF4871">
      <w:pPr>
        <w:rPr>
          <w:b/>
          <w:bCs/>
        </w:rPr>
      </w:pPr>
      <w:r w:rsidRPr="00CF4871">
        <w:rPr>
          <w:b/>
          <w:bCs/>
        </w:rPr>
        <w:t>Financial Ratios</w:t>
      </w:r>
    </w:p>
    <w:p w14:paraId="3E4B2CDB" w14:textId="77777777" w:rsidR="00CF4871" w:rsidRPr="00CF4871" w:rsidRDefault="00CF4871" w:rsidP="00CF4871">
      <w:pPr>
        <w:numPr>
          <w:ilvl w:val="0"/>
          <w:numId w:val="2"/>
        </w:numPr>
      </w:pPr>
      <w:r w:rsidRPr="00CF4871">
        <w:rPr>
          <w:b/>
          <w:bCs/>
        </w:rPr>
        <w:t>Gross Margin</w:t>
      </w:r>
      <w:r w:rsidRPr="00CF4871">
        <w:t>:</w:t>
      </w:r>
    </w:p>
    <w:p w14:paraId="65049B8F" w14:textId="77777777" w:rsidR="00CF4871" w:rsidRPr="00CF4871" w:rsidRDefault="00CF4871" w:rsidP="00CF4871">
      <w:pPr>
        <w:numPr>
          <w:ilvl w:val="1"/>
          <w:numId w:val="3"/>
        </w:numPr>
      </w:pPr>
      <w:r w:rsidRPr="00CF4871">
        <w:rPr>
          <w:b/>
          <w:bCs/>
        </w:rPr>
        <w:t>2025</w:t>
      </w:r>
      <w:r w:rsidRPr="00CF4871">
        <w:t>: 65.4%</w:t>
      </w:r>
    </w:p>
    <w:p w14:paraId="7CD09A28" w14:textId="77777777" w:rsidR="00CF4871" w:rsidRPr="00CF4871" w:rsidRDefault="00CF4871" w:rsidP="00CF4871">
      <w:pPr>
        <w:numPr>
          <w:ilvl w:val="1"/>
          <w:numId w:val="4"/>
        </w:numPr>
      </w:pPr>
      <w:r w:rsidRPr="00CF4871">
        <w:rPr>
          <w:b/>
          <w:bCs/>
        </w:rPr>
        <w:t>2024</w:t>
      </w:r>
      <w:r w:rsidRPr="00CF4871">
        <w:t>: 64.2%</w:t>
      </w:r>
    </w:p>
    <w:p w14:paraId="69B6EF3C" w14:textId="77777777" w:rsidR="00CF4871" w:rsidRPr="00CF4871" w:rsidRDefault="00CF4871" w:rsidP="00CF4871">
      <w:pPr>
        <w:numPr>
          <w:ilvl w:val="1"/>
          <w:numId w:val="5"/>
        </w:numPr>
      </w:pPr>
      <w:r w:rsidRPr="00CF4871">
        <w:rPr>
          <w:b/>
          <w:bCs/>
        </w:rPr>
        <w:t>2023</w:t>
      </w:r>
      <w:r w:rsidRPr="00CF4871">
        <w:t>: 63.1%</w:t>
      </w:r>
    </w:p>
    <w:p w14:paraId="2A04B0A2" w14:textId="77777777" w:rsidR="00CF4871" w:rsidRPr="00CF4871" w:rsidRDefault="00CF4871" w:rsidP="00CF4871">
      <w:pPr>
        <w:numPr>
          <w:ilvl w:val="1"/>
          <w:numId w:val="6"/>
        </w:numPr>
      </w:pPr>
      <w:r w:rsidRPr="00CF4871">
        <w:rPr>
          <w:b/>
          <w:bCs/>
        </w:rPr>
        <w:t>Impact</w:t>
      </w:r>
      <w:r w:rsidRPr="00CF4871">
        <w:t>: The increase in R&amp;D spending has contributed to higher gross margins by enabling the development of high-value products</w:t>
      </w:r>
    </w:p>
    <w:p w14:paraId="3A16F51C" w14:textId="57C46A31" w:rsidR="00CF4871" w:rsidRPr="00CF4871" w:rsidRDefault="00CF4871" w:rsidP="00CF4871"/>
    <w:p w14:paraId="1DC5F902" w14:textId="77777777" w:rsidR="00CF4871" w:rsidRPr="00CF4871" w:rsidRDefault="00CF4871" w:rsidP="00CF4871">
      <w:pPr>
        <w:numPr>
          <w:ilvl w:val="0"/>
          <w:numId w:val="2"/>
        </w:numPr>
      </w:pPr>
      <w:r w:rsidRPr="00CF4871">
        <w:rPr>
          <w:b/>
          <w:bCs/>
        </w:rPr>
        <w:t>Operating Margin</w:t>
      </w:r>
      <w:r w:rsidRPr="00CF4871">
        <w:t>:</w:t>
      </w:r>
    </w:p>
    <w:p w14:paraId="4EEE804B" w14:textId="77777777" w:rsidR="00CF4871" w:rsidRPr="00CF4871" w:rsidRDefault="00CF4871" w:rsidP="00CF4871">
      <w:pPr>
        <w:numPr>
          <w:ilvl w:val="1"/>
          <w:numId w:val="7"/>
        </w:numPr>
      </w:pPr>
      <w:r w:rsidRPr="00CF4871">
        <w:rPr>
          <w:b/>
          <w:bCs/>
        </w:rPr>
        <w:t>2025</w:t>
      </w:r>
      <w:r w:rsidRPr="00CF4871">
        <w:t>: 45.8%</w:t>
      </w:r>
    </w:p>
    <w:p w14:paraId="2EBC8A6C" w14:textId="77777777" w:rsidR="00CF4871" w:rsidRPr="00CF4871" w:rsidRDefault="00CF4871" w:rsidP="00CF4871">
      <w:pPr>
        <w:numPr>
          <w:ilvl w:val="1"/>
          <w:numId w:val="8"/>
        </w:numPr>
      </w:pPr>
      <w:r w:rsidRPr="00CF4871">
        <w:rPr>
          <w:b/>
          <w:bCs/>
        </w:rPr>
        <w:t>2024</w:t>
      </w:r>
      <w:r w:rsidRPr="00CF4871">
        <w:t>: 43.5%</w:t>
      </w:r>
    </w:p>
    <w:p w14:paraId="12172E86" w14:textId="77777777" w:rsidR="00CF4871" w:rsidRPr="00CF4871" w:rsidRDefault="00CF4871" w:rsidP="00CF4871">
      <w:pPr>
        <w:numPr>
          <w:ilvl w:val="1"/>
          <w:numId w:val="9"/>
        </w:numPr>
      </w:pPr>
      <w:r w:rsidRPr="00CF4871">
        <w:rPr>
          <w:b/>
          <w:bCs/>
        </w:rPr>
        <w:t>2023</w:t>
      </w:r>
      <w:r w:rsidRPr="00CF4871">
        <w:t>: 41.2%</w:t>
      </w:r>
    </w:p>
    <w:p w14:paraId="46A7544C" w14:textId="44DD4689" w:rsidR="00CF4871" w:rsidRPr="00CF4871" w:rsidRDefault="00CF4871" w:rsidP="00CF4871">
      <w:pPr>
        <w:numPr>
          <w:ilvl w:val="1"/>
          <w:numId w:val="10"/>
        </w:numPr>
      </w:pPr>
      <w:r w:rsidRPr="00CF4871">
        <w:rPr>
          <w:b/>
          <w:bCs/>
        </w:rPr>
        <w:lastRenderedPageBreak/>
        <w:t>Impact</w:t>
      </w:r>
      <w:r w:rsidRPr="00CF4871">
        <w:t>: Higher R&amp;D expenses have led to improved operating margins through innovation and efficiency gains</w:t>
      </w:r>
    </w:p>
    <w:p w14:paraId="1C59D156" w14:textId="77777777" w:rsidR="00CF4871" w:rsidRPr="00CF4871" w:rsidRDefault="00CF4871" w:rsidP="00CF4871">
      <w:pPr>
        <w:numPr>
          <w:ilvl w:val="0"/>
          <w:numId w:val="2"/>
        </w:numPr>
      </w:pPr>
      <w:r w:rsidRPr="00CF4871">
        <w:rPr>
          <w:b/>
          <w:bCs/>
        </w:rPr>
        <w:t>Return on Equity (ROE)</w:t>
      </w:r>
      <w:r w:rsidRPr="00CF4871">
        <w:t>:</w:t>
      </w:r>
    </w:p>
    <w:p w14:paraId="3CC08F08" w14:textId="77777777" w:rsidR="00CF4871" w:rsidRPr="00CF4871" w:rsidRDefault="00CF4871" w:rsidP="00CF4871">
      <w:pPr>
        <w:numPr>
          <w:ilvl w:val="1"/>
          <w:numId w:val="11"/>
        </w:numPr>
      </w:pPr>
      <w:r w:rsidRPr="00CF4871">
        <w:rPr>
          <w:b/>
          <w:bCs/>
        </w:rPr>
        <w:t>2025</w:t>
      </w:r>
      <w:r w:rsidRPr="00CF4871">
        <w:t>: 32.5%</w:t>
      </w:r>
    </w:p>
    <w:p w14:paraId="423C07FD" w14:textId="77777777" w:rsidR="00CF4871" w:rsidRPr="00CF4871" w:rsidRDefault="00CF4871" w:rsidP="00CF4871">
      <w:pPr>
        <w:numPr>
          <w:ilvl w:val="1"/>
          <w:numId w:val="12"/>
        </w:numPr>
      </w:pPr>
      <w:r w:rsidRPr="00CF4871">
        <w:rPr>
          <w:b/>
          <w:bCs/>
        </w:rPr>
        <w:t>2024</w:t>
      </w:r>
      <w:r w:rsidRPr="00CF4871">
        <w:t>: 30.1%</w:t>
      </w:r>
    </w:p>
    <w:p w14:paraId="140B45D6" w14:textId="77777777" w:rsidR="00CF4871" w:rsidRPr="00CF4871" w:rsidRDefault="00CF4871" w:rsidP="00CF4871">
      <w:pPr>
        <w:numPr>
          <w:ilvl w:val="1"/>
          <w:numId w:val="13"/>
        </w:numPr>
      </w:pPr>
      <w:r w:rsidRPr="00CF4871">
        <w:rPr>
          <w:b/>
          <w:bCs/>
        </w:rPr>
        <w:t>2023</w:t>
      </w:r>
      <w:r w:rsidRPr="00CF4871">
        <w:t>: 28.4%</w:t>
      </w:r>
    </w:p>
    <w:p w14:paraId="0F82DCD1" w14:textId="77777777" w:rsidR="00CF4871" w:rsidRPr="00CF4871" w:rsidRDefault="00CF4871" w:rsidP="00CF4871">
      <w:pPr>
        <w:numPr>
          <w:ilvl w:val="1"/>
          <w:numId w:val="14"/>
        </w:numPr>
      </w:pPr>
      <w:r w:rsidRPr="00CF4871">
        <w:rPr>
          <w:b/>
          <w:bCs/>
        </w:rPr>
        <w:t>Impact</w:t>
      </w:r>
      <w:r w:rsidRPr="00CF4871">
        <w:t>: Effective R&amp;D investments have driven higher returns on equity by creating competitive advantages</w:t>
      </w:r>
    </w:p>
    <w:p w14:paraId="6FB27D38" w14:textId="6D683EA8" w:rsidR="00CF4871" w:rsidRPr="00CF4871" w:rsidRDefault="00CF4871" w:rsidP="00CF4871"/>
    <w:p w14:paraId="2D7ABC8A" w14:textId="77777777" w:rsidR="00CF4871" w:rsidRPr="00CF4871" w:rsidRDefault="00CF4871" w:rsidP="00CF4871">
      <w:pPr>
        <w:numPr>
          <w:ilvl w:val="0"/>
          <w:numId w:val="2"/>
        </w:numPr>
      </w:pPr>
      <w:r w:rsidRPr="00CF4871">
        <w:rPr>
          <w:b/>
          <w:bCs/>
        </w:rPr>
        <w:t>Return on Assets (ROA)</w:t>
      </w:r>
      <w:r w:rsidRPr="00CF4871">
        <w:t>:</w:t>
      </w:r>
    </w:p>
    <w:p w14:paraId="589FC2E3" w14:textId="77777777" w:rsidR="00CF4871" w:rsidRPr="00CF4871" w:rsidRDefault="00CF4871" w:rsidP="00CF4871">
      <w:pPr>
        <w:numPr>
          <w:ilvl w:val="1"/>
          <w:numId w:val="15"/>
        </w:numPr>
      </w:pPr>
      <w:r w:rsidRPr="00CF4871">
        <w:rPr>
          <w:b/>
          <w:bCs/>
        </w:rPr>
        <w:t>2025</w:t>
      </w:r>
      <w:r w:rsidRPr="00CF4871">
        <w:t>: 18.7%</w:t>
      </w:r>
    </w:p>
    <w:p w14:paraId="0404669F" w14:textId="77777777" w:rsidR="00CF4871" w:rsidRPr="00CF4871" w:rsidRDefault="00CF4871" w:rsidP="00CF4871">
      <w:pPr>
        <w:numPr>
          <w:ilvl w:val="1"/>
          <w:numId w:val="16"/>
        </w:numPr>
      </w:pPr>
      <w:r w:rsidRPr="00CF4871">
        <w:rPr>
          <w:b/>
          <w:bCs/>
        </w:rPr>
        <w:t>2024</w:t>
      </w:r>
      <w:r w:rsidRPr="00CF4871">
        <w:t>: 17.2%</w:t>
      </w:r>
    </w:p>
    <w:p w14:paraId="37E1814F" w14:textId="77777777" w:rsidR="00CF4871" w:rsidRPr="00CF4871" w:rsidRDefault="00CF4871" w:rsidP="00CF4871">
      <w:pPr>
        <w:numPr>
          <w:ilvl w:val="1"/>
          <w:numId w:val="17"/>
        </w:numPr>
      </w:pPr>
      <w:r w:rsidRPr="00CF4871">
        <w:rPr>
          <w:b/>
          <w:bCs/>
        </w:rPr>
        <w:t>2023</w:t>
      </w:r>
      <w:r w:rsidRPr="00CF4871">
        <w:t>: 15.9%</w:t>
      </w:r>
    </w:p>
    <w:p w14:paraId="1A2877DC" w14:textId="110A34F8" w:rsidR="00CF4871" w:rsidRPr="00CF4871" w:rsidRDefault="00CF4871" w:rsidP="00CF4871">
      <w:pPr>
        <w:numPr>
          <w:ilvl w:val="1"/>
          <w:numId w:val="18"/>
        </w:numPr>
      </w:pPr>
      <w:r w:rsidRPr="00CF4871">
        <w:rPr>
          <w:b/>
          <w:bCs/>
        </w:rPr>
        <w:t>Impact</w:t>
      </w:r>
      <w:r w:rsidRPr="00CF4871">
        <w:t>: R&amp;D initiatives have enhanced asset utilization, leading to better ROA</w:t>
      </w:r>
    </w:p>
    <w:p w14:paraId="1D8AE859" w14:textId="77777777" w:rsidR="00CF4871" w:rsidRPr="00CF4871" w:rsidRDefault="00CF4871" w:rsidP="00CF4871">
      <w:pPr>
        <w:numPr>
          <w:ilvl w:val="0"/>
          <w:numId w:val="2"/>
        </w:numPr>
      </w:pPr>
      <w:r w:rsidRPr="00CF4871">
        <w:rPr>
          <w:b/>
          <w:bCs/>
        </w:rPr>
        <w:t>Revenue Growth</w:t>
      </w:r>
      <w:r w:rsidRPr="00CF4871">
        <w:t>:</w:t>
      </w:r>
    </w:p>
    <w:p w14:paraId="7500655C" w14:textId="77777777" w:rsidR="00CF4871" w:rsidRPr="00CF4871" w:rsidRDefault="00CF4871" w:rsidP="00CF4871">
      <w:pPr>
        <w:numPr>
          <w:ilvl w:val="1"/>
          <w:numId w:val="19"/>
        </w:numPr>
      </w:pPr>
      <w:r w:rsidRPr="00CF4871">
        <w:rPr>
          <w:b/>
          <w:bCs/>
        </w:rPr>
        <w:t>2025</w:t>
      </w:r>
      <w:r w:rsidRPr="00CF4871">
        <w:t>: 114.2%</w:t>
      </w:r>
    </w:p>
    <w:p w14:paraId="2B3D821E" w14:textId="77777777" w:rsidR="00CF4871" w:rsidRPr="00CF4871" w:rsidRDefault="00CF4871" w:rsidP="00CF4871">
      <w:pPr>
        <w:numPr>
          <w:ilvl w:val="1"/>
          <w:numId w:val="20"/>
        </w:numPr>
      </w:pPr>
      <w:r w:rsidRPr="00CF4871">
        <w:rPr>
          <w:b/>
          <w:bCs/>
        </w:rPr>
        <w:t>2024</w:t>
      </w:r>
      <w:r w:rsidRPr="00CF4871">
        <w:t>: 77.9%</w:t>
      </w:r>
    </w:p>
    <w:p w14:paraId="71B590F0" w14:textId="77777777" w:rsidR="00CF4871" w:rsidRPr="00CF4871" w:rsidRDefault="00CF4871" w:rsidP="00CF4871">
      <w:pPr>
        <w:numPr>
          <w:ilvl w:val="1"/>
          <w:numId w:val="21"/>
        </w:numPr>
      </w:pPr>
      <w:r w:rsidRPr="00CF4871">
        <w:rPr>
          <w:b/>
          <w:bCs/>
        </w:rPr>
        <w:t>2023</w:t>
      </w:r>
      <w:r w:rsidRPr="00CF4871">
        <w:t>: 53.6%</w:t>
      </w:r>
    </w:p>
    <w:p w14:paraId="5D86316F" w14:textId="77777777" w:rsidR="00CF4871" w:rsidRPr="00CF4871" w:rsidRDefault="00CF4871" w:rsidP="00CF4871">
      <w:pPr>
        <w:numPr>
          <w:ilvl w:val="1"/>
          <w:numId w:val="22"/>
        </w:numPr>
      </w:pPr>
      <w:r w:rsidRPr="00CF4871">
        <w:rPr>
          <w:b/>
          <w:bCs/>
        </w:rPr>
        <w:t>Impact</w:t>
      </w:r>
      <w:r w:rsidRPr="00CF4871">
        <w:t>: Continuous R&amp;D efforts have significantly boosted revenue growth by introducing innovative products</w:t>
      </w:r>
    </w:p>
    <w:p w14:paraId="6801FC2A" w14:textId="4A2CB8F5" w:rsidR="00CF4871" w:rsidRPr="00CF4871" w:rsidRDefault="00CF4871" w:rsidP="00CF4871"/>
    <w:p w14:paraId="2F33C8ED" w14:textId="77777777" w:rsidR="00CF4871" w:rsidRPr="00CF4871" w:rsidRDefault="00CF4871" w:rsidP="00CF4871">
      <w:pPr>
        <w:numPr>
          <w:ilvl w:val="0"/>
          <w:numId w:val="2"/>
        </w:numPr>
      </w:pPr>
      <w:r w:rsidRPr="00CF4871">
        <w:rPr>
          <w:b/>
          <w:bCs/>
        </w:rPr>
        <w:t>Earnings Growth</w:t>
      </w:r>
      <w:r w:rsidRPr="00CF4871">
        <w:t>:</w:t>
      </w:r>
    </w:p>
    <w:p w14:paraId="70B00303" w14:textId="77777777" w:rsidR="00CF4871" w:rsidRPr="00CF4871" w:rsidRDefault="00CF4871" w:rsidP="00CF4871">
      <w:pPr>
        <w:numPr>
          <w:ilvl w:val="1"/>
          <w:numId w:val="23"/>
        </w:numPr>
      </w:pPr>
      <w:r w:rsidRPr="00CF4871">
        <w:rPr>
          <w:b/>
          <w:bCs/>
        </w:rPr>
        <w:t>2025</w:t>
      </w:r>
      <w:r w:rsidRPr="00CF4871">
        <w:t>: 147%</w:t>
      </w:r>
    </w:p>
    <w:p w14:paraId="2B707EE8" w14:textId="77777777" w:rsidR="00CF4871" w:rsidRPr="00CF4871" w:rsidRDefault="00CF4871" w:rsidP="00CF4871">
      <w:pPr>
        <w:numPr>
          <w:ilvl w:val="1"/>
          <w:numId w:val="24"/>
        </w:numPr>
      </w:pPr>
      <w:r w:rsidRPr="00CF4871">
        <w:rPr>
          <w:b/>
          <w:bCs/>
        </w:rPr>
        <w:t>2024</w:t>
      </w:r>
      <w:r w:rsidRPr="00CF4871">
        <w:t>: 130%</w:t>
      </w:r>
    </w:p>
    <w:p w14:paraId="15C144A7" w14:textId="77777777" w:rsidR="00CF4871" w:rsidRPr="00CF4871" w:rsidRDefault="00CF4871" w:rsidP="00CF4871">
      <w:pPr>
        <w:numPr>
          <w:ilvl w:val="1"/>
          <w:numId w:val="25"/>
        </w:numPr>
      </w:pPr>
      <w:r w:rsidRPr="00CF4871">
        <w:rPr>
          <w:b/>
          <w:bCs/>
        </w:rPr>
        <w:t>2023</w:t>
      </w:r>
      <w:r w:rsidRPr="00CF4871">
        <w:t>: 95%</w:t>
      </w:r>
    </w:p>
    <w:p w14:paraId="32738140" w14:textId="77777777" w:rsidR="00CF4871" w:rsidRPr="00CF4871" w:rsidRDefault="00CF4871" w:rsidP="00CF4871">
      <w:pPr>
        <w:numPr>
          <w:ilvl w:val="1"/>
          <w:numId w:val="26"/>
        </w:numPr>
      </w:pPr>
      <w:r w:rsidRPr="00CF4871">
        <w:rPr>
          <w:b/>
          <w:bCs/>
        </w:rPr>
        <w:t>Impact</w:t>
      </w:r>
      <w:r w:rsidRPr="00CF4871">
        <w:t>: Successful R&amp;D projects have led to substantial earnings growth</w:t>
      </w:r>
    </w:p>
    <w:p w14:paraId="6985D30B" w14:textId="4DB7A6A2" w:rsidR="00CF4871" w:rsidRPr="00CF4871" w:rsidRDefault="00CF4871" w:rsidP="00CF4871"/>
    <w:p w14:paraId="4DFE2E07" w14:textId="77777777" w:rsidR="00CF4871" w:rsidRDefault="00CF4871" w:rsidP="00CF4871">
      <w:r w:rsidRPr="00CF4871">
        <w:t>These numbers highlight how NVIDIA's substantial R&amp;D investments have positively impacted their financial performance and ratios.</w:t>
      </w:r>
    </w:p>
    <w:p w14:paraId="1C7C0AB7" w14:textId="77777777" w:rsidR="00645896" w:rsidRPr="00645896" w:rsidRDefault="00645896" w:rsidP="00645896">
      <w:pPr>
        <w:rPr>
          <w:b/>
          <w:bCs/>
        </w:rPr>
      </w:pPr>
      <w:r w:rsidRPr="00645896">
        <w:rPr>
          <w:b/>
          <w:bCs/>
        </w:rPr>
        <w:t>Revenue Breakdown by Product Line (2024)</w:t>
      </w:r>
    </w:p>
    <w:p w14:paraId="5DB3C0C2" w14:textId="77777777" w:rsidR="00645896" w:rsidRPr="00645896" w:rsidRDefault="00645896" w:rsidP="00645896">
      <w:pPr>
        <w:numPr>
          <w:ilvl w:val="0"/>
          <w:numId w:val="27"/>
        </w:numPr>
      </w:pPr>
      <w:r w:rsidRPr="00645896">
        <w:rPr>
          <w:b/>
          <w:bCs/>
        </w:rPr>
        <w:t>Data Center Processors for Analytics and AI</w:t>
      </w:r>
      <w:r w:rsidRPr="00645896">
        <w:t>:</w:t>
      </w:r>
    </w:p>
    <w:p w14:paraId="53F6A7BE" w14:textId="77777777" w:rsidR="00645896" w:rsidRPr="00645896" w:rsidRDefault="00645896" w:rsidP="00645896">
      <w:pPr>
        <w:numPr>
          <w:ilvl w:val="1"/>
          <w:numId w:val="28"/>
        </w:numPr>
      </w:pPr>
      <w:r w:rsidRPr="00645896">
        <w:rPr>
          <w:b/>
          <w:bCs/>
        </w:rPr>
        <w:t>Revenue</w:t>
      </w:r>
      <w:r w:rsidRPr="00645896">
        <w:t>: $116.2 billion</w:t>
      </w:r>
    </w:p>
    <w:p w14:paraId="388E18FD" w14:textId="77777777" w:rsidR="00645896" w:rsidRPr="00645896" w:rsidRDefault="00645896" w:rsidP="00645896">
      <w:pPr>
        <w:numPr>
          <w:ilvl w:val="1"/>
          <w:numId w:val="29"/>
        </w:numPr>
      </w:pPr>
      <w:r w:rsidRPr="00645896">
        <w:rPr>
          <w:b/>
          <w:bCs/>
        </w:rPr>
        <w:t>Percentage of Total Revenue</w:t>
      </w:r>
      <w:r w:rsidRPr="00645896">
        <w:t>: 78.0%</w:t>
      </w:r>
    </w:p>
    <w:p w14:paraId="3E616A24" w14:textId="592238C9" w:rsidR="00645896" w:rsidRPr="00645896" w:rsidRDefault="00645896" w:rsidP="00645896"/>
    <w:p w14:paraId="3A31C4D0" w14:textId="77777777" w:rsidR="00645896" w:rsidRPr="00645896" w:rsidRDefault="00645896" w:rsidP="00645896">
      <w:pPr>
        <w:numPr>
          <w:ilvl w:val="0"/>
          <w:numId w:val="27"/>
        </w:numPr>
      </w:pPr>
      <w:r w:rsidRPr="00645896">
        <w:rPr>
          <w:b/>
          <w:bCs/>
        </w:rPr>
        <w:t>GPUs for Computers</w:t>
      </w:r>
      <w:r w:rsidRPr="00645896">
        <w:t>:</w:t>
      </w:r>
    </w:p>
    <w:p w14:paraId="22584252" w14:textId="77777777" w:rsidR="00645896" w:rsidRPr="00645896" w:rsidRDefault="00645896" w:rsidP="00645896">
      <w:pPr>
        <w:numPr>
          <w:ilvl w:val="1"/>
          <w:numId w:val="30"/>
        </w:numPr>
      </w:pPr>
      <w:r w:rsidRPr="00645896">
        <w:rPr>
          <w:b/>
          <w:bCs/>
        </w:rPr>
        <w:t>Revenue</w:t>
      </w:r>
      <w:r w:rsidRPr="00645896">
        <w:t>: $25.5 billion</w:t>
      </w:r>
    </w:p>
    <w:p w14:paraId="2EF506B4" w14:textId="77777777" w:rsidR="00645896" w:rsidRPr="00645896" w:rsidRDefault="00645896" w:rsidP="00645896">
      <w:pPr>
        <w:numPr>
          <w:ilvl w:val="1"/>
          <w:numId w:val="31"/>
        </w:numPr>
      </w:pPr>
      <w:r w:rsidRPr="00645896">
        <w:rPr>
          <w:b/>
          <w:bCs/>
        </w:rPr>
        <w:t>Percentage of Total Revenue</w:t>
      </w:r>
      <w:r w:rsidRPr="00645896">
        <w:t>: 17.1%</w:t>
      </w:r>
    </w:p>
    <w:p w14:paraId="090EE2BD" w14:textId="4CCC6A98" w:rsidR="00645896" w:rsidRPr="00645896" w:rsidRDefault="00645896" w:rsidP="00645896"/>
    <w:p w14:paraId="1B1D1ABE" w14:textId="77777777" w:rsidR="00645896" w:rsidRPr="00645896" w:rsidRDefault="00645896" w:rsidP="00645896">
      <w:pPr>
        <w:numPr>
          <w:ilvl w:val="0"/>
          <w:numId w:val="27"/>
        </w:numPr>
      </w:pPr>
      <w:r w:rsidRPr="00645896">
        <w:rPr>
          <w:b/>
          <w:bCs/>
        </w:rPr>
        <w:t>GPUs for 3D Visualization</w:t>
      </w:r>
      <w:r w:rsidRPr="00645896">
        <w:t>:</w:t>
      </w:r>
    </w:p>
    <w:p w14:paraId="4697B9B3" w14:textId="77777777" w:rsidR="00645896" w:rsidRPr="00645896" w:rsidRDefault="00645896" w:rsidP="00645896">
      <w:pPr>
        <w:numPr>
          <w:ilvl w:val="1"/>
          <w:numId w:val="32"/>
        </w:numPr>
      </w:pPr>
      <w:r w:rsidRPr="00645896">
        <w:rPr>
          <w:b/>
          <w:bCs/>
        </w:rPr>
        <w:t>Revenue</w:t>
      </w:r>
      <w:r w:rsidRPr="00645896">
        <w:t>: $3.9 billion</w:t>
      </w:r>
    </w:p>
    <w:p w14:paraId="45BBD73A" w14:textId="77777777" w:rsidR="00645896" w:rsidRPr="00645896" w:rsidRDefault="00645896" w:rsidP="00645896">
      <w:pPr>
        <w:numPr>
          <w:ilvl w:val="1"/>
          <w:numId w:val="33"/>
        </w:numPr>
      </w:pPr>
      <w:r w:rsidRPr="00645896">
        <w:rPr>
          <w:b/>
          <w:bCs/>
        </w:rPr>
        <w:t>Percentage of Total Revenue</w:t>
      </w:r>
      <w:r w:rsidRPr="00645896">
        <w:t>: 2.6%</w:t>
      </w:r>
    </w:p>
    <w:p w14:paraId="523CA5AF" w14:textId="7421B93E" w:rsidR="00645896" w:rsidRPr="00645896" w:rsidRDefault="00645896" w:rsidP="00645896"/>
    <w:p w14:paraId="7BAD0DB3" w14:textId="77777777" w:rsidR="00645896" w:rsidRPr="00645896" w:rsidRDefault="00645896" w:rsidP="00645896">
      <w:pPr>
        <w:numPr>
          <w:ilvl w:val="0"/>
          <w:numId w:val="27"/>
        </w:numPr>
      </w:pPr>
      <w:r w:rsidRPr="00645896">
        <w:rPr>
          <w:b/>
          <w:bCs/>
        </w:rPr>
        <w:t>GPUs for Automotive</w:t>
      </w:r>
      <w:r w:rsidRPr="00645896">
        <w:t>:</w:t>
      </w:r>
    </w:p>
    <w:p w14:paraId="38F39825" w14:textId="77777777" w:rsidR="00645896" w:rsidRPr="00645896" w:rsidRDefault="00645896" w:rsidP="00645896">
      <w:pPr>
        <w:numPr>
          <w:ilvl w:val="1"/>
          <w:numId w:val="34"/>
        </w:numPr>
      </w:pPr>
      <w:r w:rsidRPr="00645896">
        <w:rPr>
          <w:b/>
          <w:bCs/>
        </w:rPr>
        <w:t>Revenue</w:t>
      </w:r>
      <w:r w:rsidRPr="00645896">
        <w:t>: $2.7 billion</w:t>
      </w:r>
    </w:p>
    <w:p w14:paraId="742090B1" w14:textId="77777777" w:rsidR="00645896" w:rsidRPr="00645896" w:rsidRDefault="00645896" w:rsidP="00645896">
      <w:pPr>
        <w:numPr>
          <w:ilvl w:val="1"/>
          <w:numId w:val="35"/>
        </w:numPr>
      </w:pPr>
      <w:r w:rsidRPr="00645896">
        <w:rPr>
          <w:b/>
          <w:bCs/>
        </w:rPr>
        <w:t>Percentage of Total Revenue</w:t>
      </w:r>
      <w:r w:rsidRPr="00645896">
        <w:t>: 1.8%</w:t>
      </w:r>
    </w:p>
    <w:p w14:paraId="205BBA8F" w14:textId="14E6C509" w:rsidR="00645896" w:rsidRPr="00645896" w:rsidRDefault="00645896" w:rsidP="00645896"/>
    <w:p w14:paraId="7A10B4EC" w14:textId="77777777" w:rsidR="00645896" w:rsidRPr="00645896" w:rsidRDefault="00645896" w:rsidP="00645896">
      <w:pPr>
        <w:rPr>
          <w:b/>
          <w:bCs/>
        </w:rPr>
      </w:pPr>
      <w:r w:rsidRPr="00645896">
        <w:rPr>
          <w:b/>
          <w:bCs/>
        </w:rPr>
        <w:t>Segment Performance (FY2025)</w:t>
      </w:r>
    </w:p>
    <w:p w14:paraId="6DF9ABAE" w14:textId="77777777" w:rsidR="00645896" w:rsidRPr="00645896" w:rsidRDefault="00645896" w:rsidP="00645896">
      <w:pPr>
        <w:numPr>
          <w:ilvl w:val="0"/>
          <w:numId w:val="36"/>
        </w:numPr>
      </w:pPr>
      <w:proofErr w:type="gramStart"/>
      <w:r w:rsidRPr="00645896">
        <w:rPr>
          <w:b/>
          <w:bCs/>
        </w:rPr>
        <w:t>Compute</w:t>
      </w:r>
      <w:proofErr w:type="gramEnd"/>
      <w:r w:rsidRPr="00645896">
        <w:rPr>
          <w:b/>
          <w:bCs/>
        </w:rPr>
        <w:t xml:space="preserve"> &amp; Networking Segment</w:t>
      </w:r>
      <w:r w:rsidRPr="00645896">
        <w:t>:</w:t>
      </w:r>
    </w:p>
    <w:p w14:paraId="1E3C2C6C" w14:textId="77777777" w:rsidR="00645896" w:rsidRPr="00645896" w:rsidRDefault="00645896" w:rsidP="00645896">
      <w:pPr>
        <w:numPr>
          <w:ilvl w:val="1"/>
          <w:numId w:val="37"/>
        </w:numPr>
      </w:pPr>
      <w:r w:rsidRPr="00645896">
        <w:rPr>
          <w:b/>
          <w:bCs/>
        </w:rPr>
        <w:t>Revenue</w:t>
      </w:r>
      <w:r w:rsidRPr="00645896">
        <w:t>: $116.2 billion</w:t>
      </w:r>
    </w:p>
    <w:p w14:paraId="0580E89B" w14:textId="77777777" w:rsidR="00645896" w:rsidRPr="00645896" w:rsidRDefault="00645896" w:rsidP="00645896">
      <w:pPr>
        <w:numPr>
          <w:ilvl w:val="1"/>
          <w:numId w:val="38"/>
        </w:numPr>
      </w:pPr>
      <w:r w:rsidRPr="00645896">
        <w:rPr>
          <w:b/>
          <w:bCs/>
        </w:rPr>
        <w:t>Operating Margin</w:t>
      </w:r>
      <w:r w:rsidRPr="00645896">
        <w:t>: 45.8%</w:t>
      </w:r>
    </w:p>
    <w:p w14:paraId="3D682CB8" w14:textId="38A45F3F" w:rsidR="00645896" w:rsidRPr="00645896" w:rsidRDefault="00645896" w:rsidP="00645896"/>
    <w:p w14:paraId="60886157" w14:textId="77777777" w:rsidR="00645896" w:rsidRPr="00645896" w:rsidRDefault="00645896" w:rsidP="00645896">
      <w:pPr>
        <w:numPr>
          <w:ilvl w:val="0"/>
          <w:numId w:val="36"/>
        </w:numPr>
      </w:pPr>
      <w:r w:rsidRPr="00645896">
        <w:rPr>
          <w:b/>
          <w:bCs/>
        </w:rPr>
        <w:t>Graphics Segment</w:t>
      </w:r>
      <w:r w:rsidRPr="00645896">
        <w:t>:</w:t>
      </w:r>
    </w:p>
    <w:p w14:paraId="6B0B1FEB" w14:textId="77777777" w:rsidR="00645896" w:rsidRPr="00645896" w:rsidRDefault="00645896" w:rsidP="00645896">
      <w:pPr>
        <w:numPr>
          <w:ilvl w:val="1"/>
          <w:numId w:val="39"/>
        </w:numPr>
      </w:pPr>
      <w:r w:rsidRPr="00645896">
        <w:rPr>
          <w:b/>
          <w:bCs/>
        </w:rPr>
        <w:lastRenderedPageBreak/>
        <w:t>Revenue</w:t>
      </w:r>
      <w:r w:rsidRPr="00645896">
        <w:t>: $14.3 billion</w:t>
      </w:r>
    </w:p>
    <w:p w14:paraId="24D467FE" w14:textId="77777777" w:rsidR="00645896" w:rsidRPr="00645896" w:rsidRDefault="00645896" w:rsidP="00645896">
      <w:pPr>
        <w:numPr>
          <w:ilvl w:val="1"/>
          <w:numId w:val="40"/>
        </w:numPr>
      </w:pPr>
      <w:r w:rsidRPr="00645896">
        <w:rPr>
          <w:b/>
          <w:bCs/>
        </w:rPr>
        <w:t>Operating Margin</w:t>
      </w:r>
      <w:r w:rsidRPr="00645896">
        <w:t>: 41.2%</w:t>
      </w:r>
    </w:p>
    <w:p w14:paraId="03A64B3A" w14:textId="7F45ED0F" w:rsidR="00645896" w:rsidRPr="00645896" w:rsidRDefault="00645896" w:rsidP="00645896"/>
    <w:p w14:paraId="1DA09C48" w14:textId="77777777" w:rsidR="00645896" w:rsidRPr="00645896" w:rsidRDefault="00645896" w:rsidP="00645896">
      <w:pPr>
        <w:rPr>
          <w:b/>
          <w:bCs/>
        </w:rPr>
      </w:pPr>
      <w:r w:rsidRPr="00645896">
        <w:rPr>
          <w:b/>
          <w:bCs/>
        </w:rPr>
        <w:t>Key Products</w:t>
      </w:r>
    </w:p>
    <w:p w14:paraId="068F69AC" w14:textId="7C6D1184" w:rsidR="00645896" w:rsidRPr="00645896" w:rsidRDefault="00645896" w:rsidP="00645896">
      <w:pPr>
        <w:numPr>
          <w:ilvl w:val="0"/>
          <w:numId w:val="41"/>
        </w:numPr>
      </w:pPr>
      <w:r w:rsidRPr="00645896">
        <w:rPr>
          <w:b/>
          <w:bCs/>
        </w:rPr>
        <w:t>H100 Tensor Core GPUs</w:t>
      </w:r>
      <w:r w:rsidRPr="00645896">
        <w:t>: Essential for AI and high-performance computing, widely used by cloud computing giants</w:t>
      </w:r>
    </w:p>
    <w:p w14:paraId="46D58D34" w14:textId="77777777" w:rsidR="00645896" w:rsidRPr="00645896" w:rsidRDefault="00645896" w:rsidP="00645896">
      <w:pPr>
        <w:numPr>
          <w:ilvl w:val="0"/>
          <w:numId w:val="41"/>
        </w:numPr>
      </w:pPr>
      <w:r w:rsidRPr="00645896">
        <w:rPr>
          <w:b/>
          <w:bCs/>
        </w:rPr>
        <w:t>GeForce RTX Series</w:t>
      </w:r>
      <w:r w:rsidRPr="00645896">
        <w:t>: Popular among gamers for real-time ray tracing and AI-powered features</w:t>
      </w:r>
    </w:p>
    <w:p w14:paraId="7A43F1EF" w14:textId="410CDF63" w:rsidR="00645896" w:rsidRPr="00645896" w:rsidRDefault="00645896" w:rsidP="00645896"/>
    <w:p w14:paraId="1BA5465A" w14:textId="77777777" w:rsidR="00645896" w:rsidRPr="00645896" w:rsidRDefault="00645896" w:rsidP="00645896">
      <w:pPr>
        <w:numPr>
          <w:ilvl w:val="0"/>
          <w:numId w:val="41"/>
        </w:numPr>
      </w:pPr>
      <w:r w:rsidRPr="00645896">
        <w:rPr>
          <w:b/>
          <w:bCs/>
        </w:rPr>
        <w:t>NVIDIA DRIVE</w:t>
      </w:r>
      <w:r w:rsidRPr="00645896">
        <w:t>: AI-based solutions for autonomous vehicles</w:t>
      </w:r>
    </w:p>
    <w:p w14:paraId="4C67B5CA" w14:textId="395B8158" w:rsidR="00645896" w:rsidRPr="00645896" w:rsidRDefault="00645896" w:rsidP="00645896"/>
    <w:p w14:paraId="41B5F38E" w14:textId="77777777" w:rsidR="00645896" w:rsidRDefault="00645896" w:rsidP="00645896">
      <w:r w:rsidRPr="00645896">
        <w:t>These products and segments have significantly contributed to NVIDIA's strong financial performance and profitability.</w:t>
      </w:r>
    </w:p>
    <w:p w14:paraId="64791AF1" w14:textId="77777777" w:rsidR="00645896" w:rsidRDefault="00645896" w:rsidP="00645896"/>
    <w:p w14:paraId="4D611C4B" w14:textId="77777777" w:rsidR="00645896" w:rsidRPr="00645896" w:rsidRDefault="00645896" w:rsidP="00645896">
      <w:r w:rsidRPr="00645896">
        <w:t>Here are some key insights from NVIDIA's financial ratios over the past five fiscal years:</w:t>
      </w:r>
    </w:p>
    <w:p w14:paraId="21873E11" w14:textId="77777777" w:rsidR="00645896" w:rsidRPr="00645896" w:rsidRDefault="00645896" w:rsidP="00645896">
      <w:pPr>
        <w:rPr>
          <w:b/>
          <w:bCs/>
        </w:rPr>
      </w:pPr>
      <w:r w:rsidRPr="00645896">
        <w:rPr>
          <w:b/>
          <w:bCs/>
        </w:rPr>
        <w:t>Revenue and Growth</w:t>
      </w:r>
    </w:p>
    <w:p w14:paraId="5C64DD54" w14:textId="77777777" w:rsidR="00645896" w:rsidRPr="00645896" w:rsidRDefault="00645896" w:rsidP="00645896">
      <w:pPr>
        <w:numPr>
          <w:ilvl w:val="0"/>
          <w:numId w:val="42"/>
        </w:numPr>
      </w:pPr>
      <w:r w:rsidRPr="00645896">
        <w:rPr>
          <w:b/>
          <w:bCs/>
        </w:rPr>
        <w:t>Revenue</w:t>
      </w:r>
      <w:r w:rsidRPr="00645896">
        <w:t>: NVIDIA's revenue has grown significantly, reaching $130.497 billion in FY 2025, up from $60.922 billion in FY 2024 and $26.974 billion in FY 2023.</w:t>
      </w:r>
    </w:p>
    <w:p w14:paraId="248BC07A" w14:textId="77777777" w:rsidR="00645896" w:rsidRPr="00645896" w:rsidRDefault="00645896" w:rsidP="00645896">
      <w:pPr>
        <w:numPr>
          <w:ilvl w:val="0"/>
          <w:numId w:val="42"/>
        </w:numPr>
      </w:pPr>
      <w:r w:rsidRPr="00645896">
        <w:rPr>
          <w:b/>
          <w:bCs/>
        </w:rPr>
        <w:t>Revenue Growth (YoY)</w:t>
      </w:r>
      <w:r w:rsidRPr="00645896">
        <w:t xml:space="preserve">: The year-over-year growth rate was 114.20% in FY 2025, indicating strong performance. However, this growth rate was slightly lower than </w:t>
      </w:r>
      <w:proofErr w:type="gramStart"/>
      <w:r w:rsidRPr="00645896">
        <w:t>the 125.86</w:t>
      </w:r>
      <w:proofErr w:type="gramEnd"/>
      <w:r w:rsidRPr="00645896">
        <w:t>% in FY 2024.</w:t>
      </w:r>
    </w:p>
    <w:p w14:paraId="2063BD72" w14:textId="77777777" w:rsidR="00645896" w:rsidRPr="00645896" w:rsidRDefault="00645896" w:rsidP="00645896">
      <w:pPr>
        <w:rPr>
          <w:b/>
          <w:bCs/>
        </w:rPr>
      </w:pPr>
      <w:r w:rsidRPr="00645896">
        <w:rPr>
          <w:b/>
          <w:bCs/>
        </w:rPr>
        <w:t>Profitability</w:t>
      </w:r>
    </w:p>
    <w:p w14:paraId="2D678FF0" w14:textId="77777777" w:rsidR="00645896" w:rsidRPr="00645896" w:rsidRDefault="00645896" w:rsidP="00645896">
      <w:pPr>
        <w:numPr>
          <w:ilvl w:val="0"/>
          <w:numId w:val="43"/>
        </w:numPr>
      </w:pPr>
      <w:r w:rsidRPr="00645896">
        <w:rPr>
          <w:b/>
          <w:bCs/>
        </w:rPr>
        <w:t>Gross Margin</w:t>
      </w:r>
      <w:r w:rsidRPr="00645896">
        <w:t>: NVIDIA's gross margin improved to 74.99% in FY 2025 from 72.72% in FY 2024, reflecting efficient cost management and high-value product offerings.</w:t>
      </w:r>
    </w:p>
    <w:p w14:paraId="7909B5A3" w14:textId="77777777" w:rsidR="00645896" w:rsidRPr="00645896" w:rsidRDefault="00645896" w:rsidP="00645896">
      <w:pPr>
        <w:numPr>
          <w:ilvl w:val="0"/>
          <w:numId w:val="43"/>
        </w:numPr>
      </w:pPr>
      <w:r w:rsidRPr="00645896">
        <w:rPr>
          <w:b/>
          <w:bCs/>
        </w:rPr>
        <w:t>Operating Margin</w:t>
      </w:r>
      <w:r w:rsidRPr="00645896">
        <w:t>: The operating margin increased to 62.42% in FY 2025 from 54.12% in FY 2024, showcasing strong operational efficiency despite higher R&amp;D expenses.</w:t>
      </w:r>
    </w:p>
    <w:p w14:paraId="048A2B0D" w14:textId="77777777" w:rsidR="00645896" w:rsidRPr="00645896" w:rsidRDefault="00645896" w:rsidP="00645896">
      <w:pPr>
        <w:numPr>
          <w:ilvl w:val="0"/>
          <w:numId w:val="43"/>
        </w:numPr>
      </w:pPr>
      <w:r w:rsidRPr="00645896">
        <w:rPr>
          <w:b/>
          <w:bCs/>
        </w:rPr>
        <w:t>Profit Margin</w:t>
      </w:r>
      <w:r w:rsidRPr="00645896">
        <w:t>: The profit margin rose to 55.85% in FY 2025 from 48.85% in FY 2024, indicating robust profitability.</w:t>
      </w:r>
    </w:p>
    <w:p w14:paraId="43A23683" w14:textId="77777777" w:rsidR="00645896" w:rsidRPr="00645896" w:rsidRDefault="00645896" w:rsidP="00645896">
      <w:pPr>
        <w:rPr>
          <w:b/>
          <w:bCs/>
        </w:rPr>
      </w:pPr>
      <w:r w:rsidRPr="00645896">
        <w:rPr>
          <w:b/>
          <w:bCs/>
        </w:rPr>
        <w:lastRenderedPageBreak/>
        <w:t>Expenses</w:t>
      </w:r>
    </w:p>
    <w:p w14:paraId="4112208C" w14:textId="77777777" w:rsidR="00645896" w:rsidRPr="00645896" w:rsidRDefault="00645896" w:rsidP="00645896">
      <w:pPr>
        <w:numPr>
          <w:ilvl w:val="0"/>
          <w:numId w:val="44"/>
        </w:numPr>
      </w:pPr>
      <w:r w:rsidRPr="00645896">
        <w:rPr>
          <w:b/>
          <w:bCs/>
        </w:rPr>
        <w:t>Cost of Revenue</w:t>
      </w:r>
      <w:r w:rsidRPr="00645896">
        <w:t>: The cost of revenue increased to $32.639 billion in FY 2025 from $16.621 billion in FY 2024, reflecting higher production costs due to increased sales.</w:t>
      </w:r>
    </w:p>
    <w:p w14:paraId="6F777658" w14:textId="77777777" w:rsidR="00645896" w:rsidRPr="00645896" w:rsidRDefault="00645896" w:rsidP="00645896">
      <w:pPr>
        <w:numPr>
          <w:ilvl w:val="0"/>
          <w:numId w:val="44"/>
        </w:numPr>
      </w:pPr>
      <w:r w:rsidRPr="00645896">
        <w:rPr>
          <w:b/>
          <w:bCs/>
        </w:rPr>
        <w:t>Operating Expenses</w:t>
      </w:r>
      <w:r w:rsidRPr="00645896">
        <w:t>: Operating expenses grew to $16.405 billion in FY 2025 from $11.329 billion in FY 2024, driven by higher R&amp;D and SG&amp;A expenses.</w:t>
      </w:r>
    </w:p>
    <w:p w14:paraId="550405DA" w14:textId="77777777" w:rsidR="00645896" w:rsidRPr="00645896" w:rsidRDefault="00645896" w:rsidP="00645896">
      <w:pPr>
        <w:rPr>
          <w:b/>
          <w:bCs/>
        </w:rPr>
      </w:pPr>
      <w:r w:rsidRPr="00645896">
        <w:rPr>
          <w:b/>
          <w:bCs/>
        </w:rPr>
        <w:t>Earnings</w:t>
      </w:r>
    </w:p>
    <w:p w14:paraId="16616E04" w14:textId="77777777" w:rsidR="00645896" w:rsidRPr="00645896" w:rsidRDefault="00645896" w:rsidP="00645896">
      <w:pPr>
        <w:numPr>
          <w:ilvl w:val="0"/>
          <w:numId w:val="45"/>
        </w:numPr>
      </w:pPr>
      <w:r w:rsidRPr="00645896">
        <w:rPr>
          <w:b/>
          <w:bCs/>
        </w:rPr>
        <w:t>Net Income</w:t>
      </w:r>
      <w:r w:rsidRPr="00645896">
        <w:t>: Net income surged to $72.880 billion in FY 2025 from $29.760 billion in FY 2024, demonstrating substantial profitability.</w:t>
      </w:r>
    </w:p>
    <w:p w14:paraId="32C63F8F" w14:textId="77777777" w:rsidR="00645896" w:rsidRPr="00645896" w:rsidRDefault="00645896" w:rsidP="00645896">
      <w:pPr>
        <w:numPr>
          <w:ilvl w:val="0"/>
          <w:numId w:val="45"/>
        </w:numPr>
      </w:pPr>
      <w:r w:rsidRPr="00645896">
        <w:rPr>
          <w:b/>
          <w:bCs/>
        </w:rPr>
        <w:t>EPS (Diluted)</w:t>
      </w:r>
      <w:r w:rsidRPr="00645896">
        <w:t>: Earnings per share (diluted) increased to $2.94 in FY 2025 from $1.19 in FY 2024, reflecting strong earnings growth.</w:t>
      </w:r>
    </w:p>
    <w:p w14:paraId="7A811BF3" w14:textId="77777777" w:rsidR="00645896" w:rsidRPr="00645896" w:rsidRDefault="00645896" w:rsidP="00645896">
      <w:pPr>
        <w:rPr>
          <w:b/>
          <w:bCs/>
        </w:rPr>
      </w:pPr>
      <w:r w:rsidRPr="00645896">
        <w:rPr>
          <w:b/>
          <w:bCs/>
        </w:rPr>
        <w:t>Cash Flow</w:t>
      </w:r>
    </w:p>
    <w:p w14:paraId="461A32A9" w14:textId="77777777" w:rsidR="00645896" w:rsidRPr="00645896" w:rsidRDefault="00645896" w:rsidP="00645896">
      <w:pPr>
        <w:numPr>
          <w:ilvl w:val="0"/>
          <w:numId w:val="46"/>
        </w:numPr>
      </w:pPr>
      <w:r w:rsidRPr="00645896">
        <w:rPr>
          <w:b/>
          <w:bCs/>
        </w:rPr>
        <w:t>Free Cash Flow</w:t>
      </w:r>
      <w:r w:rsidRPr="00645896">
        <w:t>: Free cash flow grew to $60.853 billion in FY 2025 from $27.021 billion in FY 2024, indicating strong cash generation capabilities.</w:t>
      </w:r>
    </w:p>
    <w:p w14:paraId="7616611F" w14:textId="77777777" w:rsidR="00645896" w:rsidRPr="00645896" w:rsidRDefault="00645896" w:rsidP="00645896">
      <w:pPr>
        <w:numPr>
          <w:ilvl w:val="0"/>
          <w:numId w:val="46"/>
        </w:numPr>
      </w:pPr>
      <w:r w:rsidRPr="00645896">
        <w:rPr>
          <w:b/>
          <w:bCs/>
        </w:rPr>
        <w:t>Free Cash Flow Margin</w:t>
      </w:r>
      <w:r w:rsidRPr="00645896">
        <w:t>: The free cash flow margin improved to 46.63% in FY 2025 from 44.35% in FY 2024, showcasing efficient cash flow management.</w:t>
      </w:r>
    </w:p>
    <w:p w14:paraId="5398D966" w14:textId="77777777" w:rsidR="00645896" w:rsidRPr="00645896" w:rsidRDefault="00645896" w:rsidP="00645896">
      <w:pPr>
        <w:rPr>
          <w:b/>
          <w:bCs/>
        </w:rPr>
      </w:pPr>
      <w:r w:rsidRPr="00645896">
        <w:rPr>
          <w:b/>
          <w:bCs/>
        </w:rPr>
        <w:t>Dividends</w:t>
      </w:r>
    </w:p>
    <w:p w14:paraId="29D8F0B4" w14:textId="77777777" w:rsidR="00645896" w:rsidRPr="00645896" w:rsidRDefault="00645896" w:rsidP="00645896">
      <w:pPr>
        <w:numPr>
          <w:ilvl w:val="0"/>
          <w:numId w:val="47"/>
        </w:numPr>
      </w:pPr>
      <w:r w:rsidRPr="00645896">
        <w:rPr>
          <w:b/>
          <w:bCs/>
        </w:rPr>
        <w:t>Dividend Per Share</w:t>
      </w:r>
      <w:r w:rsidRPr="00645896">
        <w:t>: Dividend per share increased to $0.034 in FY 2025 from $0.016 in FY 2024, reflecting a commitment to returning value to shareholders.</w:t>
      </w:r>
    </w:p>
    <w:p w14:paraId="0296EA48" w14:textId="77777777" w:rsidR="00645896" w:rsidRPr="00645896" w:rsidRDefault="00645896" w:rsidP="00645896">
      <w:pPr>
        <w:rPr>
          <w:b/>
          <w:bCs/>
        </w:rPr>
      </w:pPr>
      <w:r w:rsidRPr="00645896">
        <w:rPr>
          <w:b/>
          <w:bCs/>
        </w:rPr>
        <w:t>Efficiency</w:t>
      </w:r>
    </w:p>
    <w:p w14:paraId="72A68B2B" w14:textId="77777777" w:rsidR="00645896" w:rsidRPr="00645896" w:rsidRDefault="00645896" w:rsidP="00645896">
      <w:pPr>
        <w:numPr>
          <w:ilvl w:val="0"/>
          <w:numId w:val="48"/>
        </w:numPr>
      </w:pPr>
      <w:r w:rsidRPr="00645896">
        <w:rPr>
          <w:b/>
          <w:bCs/>
        </w:rPr>
        <w:t>EBITDA Margin</w:t>
      </w:r>
      <w:r w:rsidRPr="00645896">
        <w:t>: The EBITDA margin increased to 63.85% in FY 2025 from 56.60% in FY 2024, indicating strong operational performance.</w:t>
      </w:r>
    </w:p>
    <w:p w14:paraId="7A35E79B" w14:textId="77777777" w:rsidR="00645896" w:rsidRPr="00645896" w:rsidRDefault="00645896" w:rsidP="00645896">
      <w:pPr>
        <w:numPr>
          <w:ilvl w:val="0"/>
          <w:numId w:val="48"/>
        </w:numPr>
      </w:pPr>
      <w:r w:rsidRPr="00645896">
        <w:rPr>
          <w:b/>
          <w:bCs/>
        </w:rPr>
        <w:t>EBIT Margin</w:t>
      </w:r>
      <w:r w:rsidRPr="00645896">
        <w:t>: The EBIT margin rose to 62.42% in FY 2025 from 54.12% in FY 2024, reflecting improved profitability.</w:t>
      </w:r>
    </w:p>
    <w:p w14:paraId="01032750" w14:textId="77777777" w:rsidR="00645896" w:rsidRPr="00645896" w:rsidRDefault="00645896" w:rsidP="00645896">
      <w:pPr>
        <w:rPr>
          <w:b/>
          <w:bCs/>
        </w:rPr>
      </w:pPr>
      <w:r w:rsidRPr="00645896">
        <w:rPr>
          <w:b/>
          <w:bCs/>
        </w:rPr>
        <w:t>Tax Rate</w:t>
      </w:r>
    </w:p>
    <w:p w14:paraId="7107E13B" w14:textId="77777777" w:rsidR="00645896" w:rsidRPr="00645896" w:rsidRDefault="00645896" w:rsidP="00645896">
      <w:pPr>
        <w:numPr>
          <w:ilvl w:val="0"/>
          <w:numId w:val="49"/>
        </w:numPr>
      </w:pPr>
      <w:r w:rsidRPr="00645896">
        <w:rPr>
          <w:b/>
          <w:bCs/>
        </w:rPr>
        <w:t>Effective Tax Rate</w:t>
      </w:r>
      <w:r w:rsidRPr="00645896">
        <w:t>: The effective tax rate increased slightly to 13.26% in FY 2025 from 12.00% in FY 2024, indicating higher tax expenses.</w:t>
      </w:r>
    </w:p>
    <w:p w14:paraId="565884FA" w14:textId="77777777" w:rsidR="00645896" w:rsidRPr="00645896" w:rsidRDefault="00645896" w:rsidP="00645896">
      <w:pPr>
        <w:rPr>
          <w:b/>
          <w:bCs/>
        </w:rPr>
      </w:pPr>
      <w:r w:rsidRPr="00645896">
        <w:rPr>
          <w:b/>
          <w:bCs/>
        </w:rPr>
        <w:t>Overall Insights</w:t>
      </w:r>
    </w:p>
    <w:p w14:paraId="1CF24975" w14:textId="77777777" w:rsidR="00645896" w:rsidRDefault="00645896" w:rsidP="00645896">
      <w:r w:rsidRPr="00645896">
        <w:t xml:space="preserve">NVIDIA's financial performance in FY 2025 reflects strong revenue growth, improved profitability, efficient cash flow management, and a commitment to shareholder returns. </w:t>
      </w:r>
      <w:r w:rsidRPr="00645896">
        <w:lastRenderedPageBreak/>
        <w:t>Despite higher R&amp;D and operating expenses, NVIDIA has managed to maintain robust margins and earnings growth, driven by high-value product offerings and market leadership.</w:t>
      </w:r>
    </w:p>
    <w:p w14:paraId="1763CD5B" w14:textId="77777777" w:rsidR="00B54502" w:rsidRPr="00B54502" w:rsidRDefault="00B54502" w:rsidP="00B54502">
      <w:r w:rsidRPr="00B54502">
        <w:t xml:space="preserve">What </w:t>
      </w:r>
      <w:proofErr w:type="gramStart"/>
      <w:r w:rsidRPr="00B54502">
        <w:t>are  successful</w:t>
      </w:r>
      <w:proofErr w:type="gramEnd"/>
      <w:r w:rsidRPr="00B54502">
        <w:t xml:space="preserve"> and unsuccessful R&amp;D projects by NVIDIA?</w:t>
      </w:r>
    </w:p>
    <w:p w14:paraId="6AC9D29B" w14:textId="77777777" w:rsidR="00B54502" w:rsidRPr="00B54502" w:rsidRDefault="00B54502" w:rsidP="00B54502">
      <w:pPr>
        <w:rPr>
          <w:b/>
          <w:bCs/>
        </w:rPr>
      </w:pPr>
      <w:r w:rsidRPr="00B54502">
        <w:rPr>
          <w:b/>
          <w:bCs/>
        </w:rPr>
        <w:t>Copilot said:</w:t>
      </w:r>
    </w:p>
    <w:p w14:paraId="5BA16723" w14:textId="77777777" w:rsidR="00B54502" w:rsidRPr="00B54502" w:rsidRDefault="00B54502" w:rsidP="00B54502">
      <w:r w:rsidRPr="00B54502">
        <w:t>Copilot</w:t>
      </w:r>
    </w:p>
    <w:p w14:paraId="59FE9A08" w14:textId="77777777" w:rsidR="00B54502" w:rsidRPr="00B54502" w:rsidRDefault="00B54502" w:rsidP="00B54502">
      <w:pPr>
        <w:rPr>
          <w:b/>
          <w:bCs/>
        </w:rPr>
      </w:pPr>
      <w:r w:rsidRPr="00B54502">
        <w:rPr>
          <w:b/>
          <w:bCs/>
        </w:rPr>
        <w:t>Successful R&amp;D Projects</w:t>
      </w:r>
    </w:p>
    <w:p w14:paraId="17680976" w14:textId="77777777" w:rsidR="00B54502" w:rsidRPr="00B54502" w:rsidRDefault="00B54502" w:rsidP="00B54502">
      <w:pPr>
        <w:numPr>
          <w:ilvl w:val="0"/>
          <w:numId w:val="50"/>
        </w:numPr>
      </w:pPr>
      <w:r w:rsidRPr="00B54502">
        <w:rPr>
          <w:b/>
          <w:bCs/>
        </w:rPr>
        <w:t>GeForce 256 (1999)</w:t>
      </w:r>
    </w:p>
    <w:p w14:paraId="4D483A53" w14:textId="0AD125AB" w:rsidR="00B54502" w:rsidRPr="00B54502" w:rsidRDefault="00B54502" w:rsidP="00B54502">
      <w:pPr>
        <w:numPr>
          <w:ilvl w:val="1"/>
          <w:numId w:val="51"/>
        </w:numPr>
      </w:pPr>
      <w:r w:rsidRPr="00B54502">
        <w:rPr>
          <w:b/>
          <w:bCs/>
        </w:rPr>
        <w:t>Impact</w:t>
      </w:r>
      <w:r w:rsidRPr="00B54502">
        <w:t>: The world's first GPU, revolutionizing the gaming industry with unprecedented graphics performance</w:t>
      </w:r>
    </w:p>
    <w:p w14:paraId="66F26F65" w14:textId="77777777" w:rsidR="00B54502" w:rsidRPr="00B54502" w:rsidRDefault="00B54502" w:rsidP="00B54502">
      <w:pPr>
        <w:numPr>
          <w:ilvl w:val="1"/>
          <w:numId w:val="52"/>
        </w:numPr>
      </w:pPr>
      <w:r w:rsidRPr="00B54502">
        <w:rPr>
          <w:b/>
          <w:bCs/>
        </w:rPr>
        <w:t>Outcome</w:t>
      </w:r>
      <w:r w:rsidRPr="00B54502">
        <w:t>: Established NVIDIA as a leader in the GPU market.</w:t>
      </w:r>
    </w:p>
    <w:p w14:paraId="7DA86F72" w14:textId="77777777" w:rsidR="00B54502" w:rsidRPr="00B54502" w:rsidRDefault="00B54502" w:rsidP="00B54502">
      <w:pPr>
        <w:numPr>
          <w:ilvl w:val="0"/>
          <w:numId w:val="50"/>
        </w:numPr>
      </w:pPr>
      <w:r w:rsidRPr="00B54502">
        <w:rPr>
          <w:b/>
          <w:bCs/>
        </w:rPr>
        <w:t>CUDA Platform (2006)</w:t>
      </w:r>
    </w:p>
    <w:p w14:paraId="32AE7FA3" w14:textId="06F6DA5B" w:rsidR="00B54502" w:rsidRPr="00B54502" w:rsidRDefault="00B54502" w:rsidP="00B54502">
      <w:pPr>
        <w:numPr>
          <w:ilvl w:val="1"/>
          <w:numId w:val="53"/>
        </w:numPr>
      </w:pPr>
      <w:r w:rsidRPr="00B54502">
        <w:rPr>
          <w:b/>
          <w:bCs/>
        </w:rPr>
        <w:t>Impact</w:t>
      </w:r>
      <w:r w:rsidRPr="00B54502">
        <w:t>: Enabled developers to harness the power of GPUs for parallel computing</w:t>
      </w:r>
    </w:p>
    <w:p w14:paraId="6B6357EB" w14:textId="77777777" w:rsidR="00B54502" w:rsidRPr="00B54502" w:rsidRDefault="00B54502" w:rsidP="00B54502">
      <w:pPr>
        <w:numPr>
          <w:ilvl w:val="1"/>
          <w:numId w:val="54"/>
        </w:numPr>
      </w:pPr>
      <w:r w:rsidRPr="00B54502">
        <w:rPr>
          <w:b/>
          <w:bCs/>
        </w:rPr>
        <w:t>Outcome</w:t>
      </w:r>
      <w:r w:rsidRPr="00B54502">
        <w:t>: Solidified NVIDIA's position in AI and scientific research.</w:t>
      </w:r>
    </w:p>
    <w:p w14:paraId="5D30CC0E" w14:textId="77777777" w:rsidR="00B54502" w:rsidRPr="00B54502" w:rsidRDefault="00B54502" w:rsidP="00B54502">
      <w:pPr>
        <w:numPr>
          <w:ilvl w:val="0"/>
          <w:numId w:val="50"/>
        </w:numPr>
      </w:pPr>
      <w:r w:rsidRPr="00B54502">
        <w:rPr>
          <w:b/>
          <w:bCs/>
        </w:rPr>
        <w:t>Tensor Core GPUs (2017)</w:t>
      </w:r>
    </w:p>
    <w:p w14:paraId="34110E54" w14:textId="77777777" w:rsidR="00B54502" w:rsidRPr="00B54502" w:rsidRDefault="00B54502" w:rsidP="00B54502">
      <w:pPr>
        <w:numPr>
          <w:ilvl w:val="1"/>
          <w:numId w:val="55"/>
        </w:numPr>
      </w:pPr>
      <w:r w:rsidRPr="00B54502">
        <w:rPr>
          <w:b/>
          <w:bCs/>
        </w:rPr>
        <w:t>Impact</w:t>
      </w:r>
      <w:r w:rsidRPr="00B54502">
        <w:t>: Enhanced AI and deep learning capabilities</w:t>
      </w:r>
    </w:p>
    <w:p w14:paraId="20DDEED5" w14:textId="03A32679" w:rsidR="00B54502" w:rsidRPr="00B54502" w:rsidRDefault="00B54502" w:rsidP="00B54502"/>
    <w:p w14:paraId="7D202C9A" w14:textId="77777777" w:rsidR="00B54502" w:rsidRPr="00B54502" w:rsidRDefault="00B54502" w:rsidP="00B54502">
      <w:pPr>
        <w:numPr>
          <w:ilvl w:val="1"/>
          <w:numId w:val="56"/>
        </w:numPr>
      </w:pPr>
      <w:r w:rsidRPr="00B54502">
        <w:rPr>
          <w:b/>
          <w:bCs/>
        </w:rPr>
        <w:t>Outcome</w:t>
      </w:r>
      <w:r w:rsidRPr="00B54502">
        <w:t>: Widely adopted in data centers and AI research, driving significant revenue growth.</w:t>
      </w:r>
    </w:p>
    <w:p w14:paraId="565C1E3C" w14:textId="77777777" w:rsidR="00B54502" w:rsidRPr="00B54502" w:rsidRDefault="00B54502" w:rsidP="00B54502">
      <w:pPr>
        <w:numPr>
          <w:ilvl w:val="0"/>
          <w:numId w:val="50"/>
        </w:numPr>
      </w:pPr>
      <w:r w:rsidRPr="00B54502">
        <w:rPr>
          <w:b/>
          <w:bCs/>
        </w:rPr>
        <w:t>NVIDIA DRIVE (2015)</w:t>
      </w:r>
    </w:p>
    <w:p w14:paraId="2700BB3D" w14:textId="77777777" w:rsidR="00B54502" w:rsidRPr="00B54502" w:rsidRDefault="00B54502" w:rsidP="00B54502">
      <w:pPr>
        <w:numPr>
          <w:ilvl w:val="1"/>
          <w:numId w:val="57"/>
        </w:numPr>
      </w:pPr>
      <w:r w:rsidRPr="00B54502">
        <w:rPr>
          <w:b/>
          <w:bCs/>
        </w:rPr>
        <w:t>Impact</w:t>
      </w:r>
      <w:r w:rsidRPr="00B54502">
        <w:t>: AI-based solutions for autonomous vehicles</w:t>
      </w:r>
    </w:p>
    <w:p w14:paraId="643A8C5A" w14:textId="26CA00E9" w:rsidR="00B54502" w:rsidRPr="00B54502" w:rsidRDefault="00B54502" w:rsidP="00B54502"/>
    <w:p w14:paraId="3527414C" w14:textId="77777777" w:rsidR="00B54502" w:rsidRPr="00B54502" w:rsidRDefault="00B54502" w:rsidP="00B54502">
      <w:pPr>
        <w:numPr>
          <w:ilvl w:val="1"/>
          <w:numId w:val="58"/>
        </w:numPr>
      </w:pPr>
      <w:r w:rsidRPr="00B54502">
        <w:rPr>
          <w:b/>
          <w:bCs/>
        </w:rPr>
        <w:t>Outcome</w:t>
      </w:r>
      <w:r w:rsidRPr="00B54502">
        <w:t>: Positioned NVIDIA as a key player in the automotive industry.</w:t>
      </w:r>
    </w:p>
    <w:p w14:paraId="3E00C9F7" w14:textId="77777777" w:rsidR="00B54502" w:rsidRPr="00B54502" w:rsidRDefault="00B54502" w:rsidP="00B54502">
      <w:pPr>
        <w:rPr>
          <w:b/>
          <w:bCs/>
        </w:rPr>
      </w:pPr>
      <w:r w:rsidRPr="00B54502">
        <w:rPr>
          <w:b/>
          <w:bCs/>
        </w:rPr>
        <w:t>Unsuccessful R&amp;D Projects</w:t>
      </w:r>
    </w:p>
    <w:p w14:paraId="3F50DBE7" w14:textId="77777777" w:rsidR="00B54502" w:rsidRPr="00B54502" w:rsidRDefault="00B54502" w:rsidP="00B54502">
      <w:pPr>
        <w:numPr>
          <w:ilvl w:val="0"/>
          <w:numId w:val="59"/>
        </w:numPr>
      </w:pPr>
      <w:r w:rsidRPr="00B54502">
        <w:rPr>
          <w:b/>
          <w:bCs/>
        </w:rPr>
        <w:t>Tegra Processors for Smartphones (2010s)</w:t>
      </w:r>
    </w:p>
    <w:p w14:paraId="1C10F839" w14:textId="77777777" w:rsidR="00B54502" w:rsidRPr="00B54502" w:rsidRDefault="00B54502" w:rsidP="00B54502">
      <w:pPr>
        <w:numPr>
          <w:ilvl w:val="1"/>
          <w:numId w:val="60"/>
        </w:numPr>
      </w:pPr>
      <w:r w:rsidRPr="00B54502">
        <w:rPr>
          <w:b/>
          <w:bCs/>
        </w:rPr>
        <w:t>Impact</w:t>
      </w:r>
      <w:r w:rsidRPr="00B54502">
        <w:t>: Aimed to compete in the mobile processor market</w:t>
      </w:r>
    </w:p>
    <w:p w14:paraId="3491D668" w14:textId="063A5D14" w:rsidR="00B54502" w:rsidRPr="00B54502" w:rsidRDefault="00B54502" w:rsidP="00B54502"/>
    <w:p w14:paraId="59DB260D" w14:textId="77777777" w:rsidR="00B54502" w:rsidRPr="00B54502" w:rsidRDefault="00B54502" w:rsidP="00B54502">
      <w:pPr>
        <w:numPr>
          <w:ilvl w:val="1"/>
          <w:numId w:val="61"/>
        </w:numPr>
      </w:pPr>
      <w:r w:rsidRPr="00B54502">
        <w:rPr>
          <w:b/>
          <w:bCs/>
        </w:rPr>
        <w:t>Outcome</w:t>
      </w:r>
      <w:r w:rsidRPr="00B54502">
        <w:t>: Limited success due to intense competition from established players like Qualcomm and Apple.</w:t>
      </w:r>
    </w:p>
    <w:p w14:paraId="474FAB7F" w14:textId="77777777" w:rsidR="00B54502" w:rsidRPr="00B54502" w:rsidRDefault="00B54502" w:rsidP="00B54502">
      <w:pPr>
        <w:numPr>
          <w:ilvl w:val="0"/>
          <w:numId w:val="59"/>
        </w:numPr>
      </w:pPr>
      <w:r w:rsidRPr="00B54502">
        <w:rPr>
          <w:b/>
          <w:bCs/>
        </w:rPr>
        <w:t>3D Vision (2009)</w:t>
      </w:r>
    </w:p>
    <w:p w14:paraId="798A8E3C" w14:textId="2ADCF7EC" w:rsidR="00B54502" w:rsidRPr="00B54502" w:rsidRDefault="00B54502" w:rsidP="00B54502">
      <w:pPr>
        <w:numPr>
          <w:ilvl w:val="1"/>
          <w:numId w:val="62"/>
        </w:numPr>
      </w:pPr>
      <w:r w:rsidRPr="00B54502">
        <w:rPr>
          <w:b/>
          <w:bCs/>
        </w:rPr>
        <w:t>Impact</w:t>
      </w:r>
      <w:r w:rsidRPr="00B54502">
        <w:t>: Technology for 3D gaming and video</w:t>
      </w:r>
    </w:p>
    <w:p w14:paraId="537F8FA7" w14:textId="77777777" w:rsidR="00B54502" w:rsidRPr="00B54502" w:rsidRDefault="00B54502" w:rsidP="00B54502">
      <w:pPr>
        <w:numPr>
          <w:ilvl w:val="1"/>
          <w:numId w:val="63"/>
        </w:numPr>
      </w:pPr>
      <w:r w:rsidRPr="00B54502">
        <w:rPr>
          <w:b/>
          <w:bCs/>
        </w:rPr>
        <w:t>Outcome</w:t>
      </w:r>
      <w:r w:rsidRPr="00B54502">
        <w:t>: Failed to gain widespread adoption due to high costs and limited content.</w:t>
      </w:r>
    </w:p>
    <w:p w14:paraId="5FB6DD3F" w14:textId="77777777" w:rsidR="00B54502" w:rsidRPr="00B54502" w:rsidRDefault="00B54502" w:rsidP="00B54502">
      <w:r w:rsidRPr="00B54502">
        <w:t>These examples highlight how NVIDIA's R&amp;D efforts have led to both groundbreaking successes and some less successful ventures. The successful projects have significantly contributed to their market leadership and financial performance, while the less successful ones have provided valuable lessons for future innovation.</w:t>
      </w:r>
    </w:p>
    <w:p w14:paraId="44533CCF" w14:textId="77777777" w:rsidR="00645896" w:rsidRPr="00645896" w:rsidRDefault="00645896" w:rsidP="00645896"/>
    <w:p w14:paraId="58CBBF4C" w14:textId="77777777" w:rsidR="00B4390E" w:rsidRPr="00B4390E" w:rsidRDefault="00B4390E" w:rsidP="00B4390E">
      <w:pPr>
        <w:rPr>
          <w:b/>
          <w:bCs/>
        </w:rPr>
      </w:pPr>
      <w:r w:rsidRPr="00B4390E">
        <w:rPr>
          <w:b/>
          <w:bCs/>
        </w:rPr>
        <w:t>Recent NVIDIA Launches</w:t>
      </w:r>
    </w:p>
    <w:p w14:paraId="1B76AAF1" w14:textId="77777777" w:rsidR="00B4390E" w:rsidRPr="00B4390E" w:rsidRDefault="00B4390E" w:rsidP="00B4390E">
      <w:pPr>
        <w:numPr>
          <w:ilvl w:val="0"/>
          <w:numId w:val="64"/>
        </w:numPr>
      </w:pPr>
      <w:r w:rsidRPr="00B4390E">
        <w:rPr>
          <w:b/>
          <w:bCs/>
        </w:rPr>
        <w:t>GeForce RTX 50 Series</w:t>
      </w:r>
      <w:r w:rsidRPr="00B4390E">
        <w:t>:</w:t>
      </w:r>
    </w:p>
    <w:p w14:paraId="32889B58" w14:textId="77777777" w:rsidR="00B4390E" w:rsidRPr="00B4390E" w:rsidRDefault="00B4390E" w:rsidP="00B4390E">
      <w:pPr>
        <w:numPr>
          <w:ilvl w:val="1"/>
          <w:numId w:val="65"/>
        </w:numPr>
      </w:pPr>
      <w:r w:rsidRPr="00B4390E">
        <w:rPr>
          <w:b/>
          <w:bCs/>
        </w:rPr>
        <w:t>Products</w:t>
      </w:r>
      <w:r w:rsidRPr="00B4390E">
        <w:t>: GeForce RTX 5090 and GeForce RTX 5080.</w:t>
      </w:r>
    </w:p>
    <w:p w14:paraId="41198A72" w14:textId="2218686F" w:rsidR="00B4390E" w:rsidRPr="00B4390E" w:rsidRDefault="00B4390E" w:rsidP="00B4390E">
      <w:pPr>
        <w:numPr>
          <w:ilvl w:val="1"/>
          <w:numId w:val="66"/>
        </w:numPr>
      </w:pPr>
      <w:r w:rsidRPr="00B4390E">
        <w:rPr>
          <w:b/>
          <w:bCs/>
        </w:rPr>
        <w:t>Features</w:t>
      </w:r>
      <w:r w:rsidRPr="00B4390E">
        <w:t>: These GPUs are powered by the NVIDIA Blackwell architecture, offering game-changing AI and neural rendering capabilities. They include DLSS 4 with Multi Frame Generation, which can multiply frame rates by up to 8X and reduce latency by up to 75%</w:t>
      </w:r>
    </w:p>
    <w:p w14:paraId="558AAED6" w14:textId="65FDF0B6" w:rsidR="00B4390E" w:rsidRPr="00B4390E" w:rsidRDefault="00B4390E" w:rsidP="00B4390E">
      <w:pPr>
        <w:numPr>
          <w:ilvl w:val="1"/>
          <w:numId w:val="67"/>
        </w:numPr>
      </w:pPr>
      <w:r w:rsidRPr="00B4390E">
        <w:rPr>
          <w:b/>
          <w:bCs/>
        </w:rPr>
        <w:t>Impact</w:t>
      </w:r>
      <w:r w:rsidRPr="00B4390E">
        <w:t>: These GPUs significantly enhance gaming and creative workflows, providing unprecedented performance and image quality</w:t>
      </w:r>
    </w:p>
    <w:p w14:paraId="02A0EEF6" w14:textId="0A60F2CC" w:rsidR="00B4390E" w:rsidRPr="00B4390E" w:rsidRDefault="00B4390E" w:rsidP="00B4390E"/>
    <w:p w14:paraId="72FC0A23" w14:textId="77777777" w:rsidR="00B4390E" w:rsidRPr="00B4390E" w:rsidRDefault="00B4390E" w:rsidP="00B4390E">
      <w:pPr>
        <w:numPr>
          <w:ilvl w:val="0"/>
          <w:numId w:val="64"/>
        </w:numPr>
      </w:pPr>
      <w:r w:rsidRPr="00B4390E">
        <w:rPr>
          <w:b/>
          <w:bCs/>
        </w:rPr>
        <w:t>NVIDIA Studio Tools</w:t>
      </w:r>
      <w:r w:rsidRPr="00B4390E">
        <w:t>:</w:t>
      </w:r>
    </w:p>
    <w:p w14:paraId="4A1DD874" w14:textId="77777777" w:rsidR="00B4390E" w:rsidRPr="00B4390E" w:rsidRDefault="00B4390E" w:rsidP="00B4390E">
      <w:pPr>
        <w:numPr>
          <w:ilvl w:val="1"/>
          <w:numId w:val="68"/>
        </w:numPr>
      </w:pPr>
      <w:r w:rsidRPr="00B4390E">
        <w:rPr>
          <w:b/>
          <w:bCs/>
        </w:rPr>
        <w:t>Features</w:t>
      </w:r>
      <w:r w:rsidRPr="00B4390E">
        <w:t>: New tools and features for creators, including hardware support for encoding and decoding the 4:2:2 pro-grade color format, yielding an 11X encoding speed increase compared to software encoders</w:t>
      </w:r>
    </w:p>
    <w:p w14:paraId="530D3EE8" w14:textId="515D6C59" w:rsidR="00B4390E" w:rsidRPr="00B4390E" w:rsidRDefault="00B4390E" w:rsidP="00B4390E"/>
    <w:p w14:paraId="7B4B57C8" w14:textId="618B0F3C" w:rsidR="00B4390E" w:rsidRPr="00B4390E" w:rsidRDefault="00B4390E" w:rsidP="00B4390E">
      <w:pPr>
        <w:numPr>
          <w:ilvl w:val="1"/>
          <w:numId w:val="69"/>
        </w:numPr>
      </w:pPr>
      <w:r w:rsidRPr="00B4390E">
        <w:rPr>
          <w:b/>
          <w:bCs/>
        </w:rPr>
        <w:t>Impact</w:t>
      </w:r>
      <w:r w:rsidRPr="00B4390E">
        <w:t>: These tools revolutionize creative workflows, enabling faster and more efficient content creation</w:t>
      </w:r>
    </w:p>
    <w:p w14:paraId="14739CEE" w14:textId="77777777" w:rsidR="00B4390E" w:rsidRPr="00B4390E" w:rsidRDefault="00B4390E" w:rsidP="00B4390E">
      <w:pPr>
        <w:rPr>
          <w:b/>
          <w:bCs/>
        </w:rPr>
      </w:pPr>
      <w:r w:rsidRPr="00B4390E">
        <w:rPr>
          <w:b/>
          <w:bCs/>
        </w:rPr>
        <w:t>Recent R&amp;D Investments</w:t>
      </w:r>
    </w:p>
    <w:p w14:paraId="325800F2" w14:textId="77777777" w:rsidR="00B4390E" w:rsidRPr="00B4390E" w:rsidRDefault="00B4390E" w:rsidP="00B4390E">
      <w:pPr>
        <w:numPr>
          <w:ilvl w:val="0"/>
          <w:numId w:val="70"/>
        </w:numPr>
      </w:pPr>
      <w:r w:rsidRPr="00B4390E">
        <w:rPr>
          <w:b/>
          <w:bCs/>
        </w:rPr>
        <w:lastRenderedPageBreak/>
        <w:t>AI and Startup Investments</w:t>
      </w:r>
      <w:r w:rsidRPr="00B4390E">
        <w:t>:</w:t>
      </w:r>
    </w:p>
    <w:p w14:paraId="75291D60" w14:textId="77777777" w:rsidR="00B4390E" w:rsidRPr="00B4390E" w:rsidRDefault="00B4390E" w:rsidP="00B4390E">
      <w:pPr>
        <w:numPr>
          <w:ilvl w:val="1"/>
          <w:numId w:val="71"/>
        </w:numPr>
      </w:pPr>
      <w:r w:rsidRPr="00B4390E">
        <w:rPr>
          <w:b/>
          <w:bCs/>
        </w:rPr>
        <w:t>Activity</w:t>
      </w:r>
      <w:r w:rsidRPr="00B4390E">
        <w:t>: NVIDIA has significantly increased its investments in AI startups, participating in 49 funding rounds for AI companies in 2024, up from 34 in 2023</w:t>
      </w:r>
    </w:p>
    <w:p w14:paraId="7EB35507" w14:textId="0D2BC51D" w:rsidR="00B4390E" w:rsidRPr="00B4390E" w:rsidRDefault="00B4390E" w:rsidP="00B4390E"/>
    <w:p w14:paraId="59C13E5A" w14:textId="658FB4D6" w:rsidR="00B4390E" w:rsidRPr="00B4390E" w:rsidRDefault="00B4390E" w:rsidP="00B4390E">
      <w:pPr>
        <w:numPr>
          <w:ilvl w:val="1"/>
          <w:numId w:val="72"/>
        </w:numPr>
      </w:pPr>
      <w:r w:rsidRPr="00B4390E">
        <w:rPr>
          <w:b/>
          <w:bCs/>
        </w:rPr>
        <w:t>Notable Investments</w:t>
      </w:r>
      <w:r w:rsidRPr="00B4390E">
        <w:t xml:space="preserve">: NVIDIA backed OpenAI with a $100 million investment in a $6.6 billion round and participated in a $6 billion round for Elon Musk's </w:t>
      </w:r>
      <w:proofErr w:type="spellStart"/>
      <w:r w:rsidRPr="00B4390E">
        <w:t>xAI</w:t>
      </w:r>
      <w:proofErr w:type="spellEnd"/>
    </w:p>
    <w:p w14:paraId="6581D6B0" w14:textId="77777777" w:rsidR="00B4390E" w:rsidRPr="00B4390E" w:rsidRDefault="00B4390E" w:rsidP="00B4390E">
      <w:pPr>
        <w:numPr>
          <w:ilvl w:val="0"/>
          <w:numId w:val="70"/>
        </w:numPr>
      </w:pPr>
      <w:r w:rsidRPr="00B4390E">
        <w:rPr>
          <w:b/>
          <w:bCs/>
        </w:rPr>
        <w:t>New R&amp;D Centers</w:t>
      </w:r>
      <w:r w:rsidRPr="00B4390E">
        <w:t>:</w:t>
      </w:r>
    </w:p>
    <w:p w14:paraId="41160F87" w14:textId="77777777" w:rsidR="00B4390E" w:rsidRPr="00B4390E" w:rsidRDefault="00B4390E" w:rsidP="00B4390E">
      <w:pPr>
        <w:numPr>
          <w:ilvl w:val="1"/>
          <w:numId w:val="73"/>
        </w:numPr>
      </w:pPr>
      <w:r w:rsidRPr="00B4390E">
        <w:rPr>
          <w:b/>
          <w:bCs/>
        </w:rPr>
        <w:t>Expansion</w:t>
      </w:r>
      <w:r w:rsidRPr="00B4390E">
        <w:t>: NVIDIA announced the opening of its first R&amp;D center in Vietnam, further expanding its global R&amp;D footprint</w:t>
      </w:r>
    </w:p>
    <w:p w14:paraId="75AC2275" w14:textId="68D4F791" w:rsidR="00B4390E" w:rsidRPr="00B4390E" w:rsidRDefault="00B4390E" w:rsidP="00B4390E"/>
    <w:p w14:paraId="578E3572" w14:textId="25506380" w:rsidR="00B4390E" w:rsidRPr="00B4390E" w:rsidRDefault="00B4390E" w:rsidP="00B4390E">
      <w:pPr>
        <w:numPr>
          <w:ilvl w:val="1"/>
          <w:numId w:val="74"/>
        </w:numPr>
      </w:pPr>
      <w:r w:rsidRPr="00B4390E">
        <w:rPr>
          <w:b/>
          <w:bCs/>
        </w:rPr>
        <w:t>Focus</w:t>
      </w:r>
      <w:r w:rsidRPr="00B4390E">
        <w:t>: This center will focus on advancing AI and computing technologies</w:t>
      </w:r>
    </w:p>
    <w:p w14:paraId="05A54589" w14:textId="77777777" w:rsidR="00B4390E" w:rsidRPr="00B4390E" w:rsidRDefault="00B4390E" w:rsidP="00B4390E">
      <w:r w:rsidRPr="00B4390E">
        <w:t>These recent launches and R&amp;D investments highlight NVIDIA's commitment to innovation and maintaining its leadership in AI and GPU technologies.</w:t>
      </w:r>
    </w:p>
    <w:p w14:paraId="74E1EFF3" w14:textId="77777777" w:rsidR="00645896" w:rsidRPr="00645896" w:rsidRDefault="00645896" w:rsidP="00645896"/>
    <w:p w14:paraId="11D56A32" w14:textId="77777777" w:rsidR="00B4390E" w:rsidRPr="00B4390E" w:rsidRDefault="00B4390E" w:rsidP="00B4390E">
      <w:r w:rsidRPr="00B4390E">
        <w:t>Market Cap Growth</w:t>
      </w:r>
      <w:r w:rsidRPr="00B4390E">
        <w:tab/>
        <w:t>131.70%</w:t>
      </w:r>
      <w:r w:rsidRPr="00B4390E">
        <w:tab/>
        <w:t>200.78%</w:t>
      </w:r>
      <w:r w:rsidRPr="00B4390E">
        <w:tab/>
        <w:t>-12.23%</w:t>
      </w:r>
      <w:r w:rsidRPr="00B4390E">
        <w:tab/>
        <w:t>77.53%</w:t>
      </w:r>
      <w:r w:rsidRPr="00B4390E">
        <w:tab/>
        <w:t>109.81%</w:t>
      </w:r>
    </w:p>
    <w:p w14:paraId="4357C985" w14:textId="77777777" w:rsidR="00B4390E" w:rsidRPr="00B4390E" w:rsidRDefault="00B4390E" w:rsidP="00B4390E">
      <w:proofErr w:type="gramStart"/>
      <w:r w:rsidRPr="00B4390E">
        <w:t>why</w:t>
      </w:r>
      <w:proofErr w:type="gramEnd"/>
      <w:r w:rsidRPr="00B4390E">
        <w:t xml:space="preserve"> this ratio got negative in 2023 and then it improved but again its dropped</w:t>
      </w:r>
    </w:p>
    <w:p w14:paraId="19DAC67D" w14:textId="77777777" w:rsidR="00B4390E" w:rsidRPr="00B4390E" w:rsidRDefault="00B4390E" w:rsidP="00B4390E">
      <w:pPr>
        <w:rPr>
          <w:b/>
          <w:bCs/>
        </w:rPr>
      </w:pPr>
      <w:r w:rsidRPr="00B4390E">
        <w:rPr>
          <w:b/>
          <w:bCs/>
        </w:rPr>
        <w:t>Copilot said:</w:t>
      </w:r>
    </w:p>
    <w:p w14:paraId="78FD74B6" w14:textId="77777777" w:rsidR="00B4390E" w:rsidRPr="00B4390E" w:rsidRDefault="00B4390E" w:rsidP="00B4390E">
      <w:r w:rsidRPr="00B4390E">
        <w:t>Copilot</w:t>
      </w:r>
    </w:p>
    <w:p w14:paraId="2E735903" w14:textId="77777777" w:rsidR="00B4390E" w:rsidRPr="00B4390E" w:rsidRDefault="00B4390E" w:rsidP="00B4390E">
      <w:r w:rsidRPr="00B4390E">
        <w:t>The fluctuations in NVIDIA's market cap growth can be attributed to several factors:</w:t>
      </w:r>
    </w:p>
    <w:p w14:paraId="1A2A9B56" w14:textId="77777777" w:rsidR="00B4390E" w:rsidRPr="00B4390E" w:rsidRDefault="00B4390E" w:rsidP="00B4390E">
      <w:pPr>
        <w:rPr>
          <w:b/>
          <w:bCs/>
        </w:rPr>
      </w:pPr>
      <w:r w:rsidRPr="00B4390E">
        <w:rPr>
          <w:b/>
          <w:bCs/>
        </w:rPr>
        <w:t>2023: Negative Growth (-12.23%)</w:t>
      </w:r>
    </w:p>
    <w:p w14:paraId="2472C37B" w14:textId="405C4CF2" w:rsidR="00B4390E" w:rsidRPr="00B4390E" w:rsidRDefault="00B4390E" w:rsidP="00B4390E">
      <w:pPr>
        <w:numPr>
          <w:ilvl w:val="0"/>
          <w:numId w:val="75"/>
        </w:numPr>
      </w:pPr>
      <w:r w:rsidRPr="00B4390E">
        <w:rPr>
          <w:b/>
          <w:bCs/>
        </w:rPr>
        <w:t>Market Conditions</w:t>
      </w:r>
      <w:r w:rsidRPr="00B4390E">
        <w:t>: The global semiconductor industry faced challenges, including supply chain disruptions and geopolitical tensions</w:t>
      </w:r>
    </w:p>
    <w:p w14:paraId="61C21B66" w14:textId="77777777" w:rsidR="00B4390E" w:rsidRPr="00B4390E" w:rsidRDefault="00B4390E" w:rsidP="00B4390E">
      <w:pPr>
        <w:numPr>
          <w:ilvl w:val="0"/>
          <w:numId w:val="75"/>
        </w:numPr>
      </w:pPr>
      <w:r w:rsidRPr="00B4390E">
        <w:rPr>
          <w:b/>
          <w:bCs/>
        </w:rPr>
        <w:t>Stock Performance</w:t>
      </w:r>
      <w:r w:rsidRPr="00B4390E">
        <w:t>: NVIDIA's stock price experienced volatility due to broader market uncertainties and investor sentiment</w:t>
      </w:r>
    </w:p>
    <w:p w14:paraId="5A5E7B19" w14:textId="40499BBA" w:rsidR="00B4390E" w:rsidRPr="00B4390E" w:rsidRDefault="00B4390E" w:rsidP="00B4390E"/>
    <w:p w14:paraId="75A54E36" w14:textId="77777777" w:rsidR="00B4390E" w:rsidRPr="00B4390E" w:rsidRDefault="00B4390E" w:rsidP="00B4390E">
      <w:pPr>
        <w:numPr>
          <w:ilvl w:val="0"/>
          <w:numId w:val="75"/>
        </w:numPr>
      </w:pPr>
      <w:r w:rsidRPr="00B4390E">
        <w:rPr>
          <w:b/>
          <w:bCs/>
        </w:rPr>
        <w:t>Competition</w:t>
      </w:r>
      <w:r w:rsidRPr="00B4390E">
        <w:t>: Increased competition from other semiconductor companies impacted NVIDIA's market position</w:t>
      </w:r>
    </w:p>
    <w:p w14:paraId="2EE20023" w14:textId="17825DC3" w:rsidR="00B4390E" w:rsidRPr="00B4390E" w:rsidRDefault="00B4390E" w:rsidP="00B4390E"/>
    <w:p w14:paraId="2F2C13FC" w14:textId="77777777" w:rsidR="00B4390E" w:rsidRPr="00B4390E" w:rsidRDefault="00B4390E" w:rsidP="00B4390E">
      <w:pPr>
        <w:rPr>
          <w:b/>
          <w:bCs/>
        </w:rPr>
      </w:pPr>
      <w:r w:rsidRPr="00B4390E">
        <w:rPr>
          <w:b/>
          <w:bCs/>
        </w:rPr>
        <w:t>2024: Significant Improvement (200.78%)</w:t>
      </w:r>
    </w:p>
    <w:p w14:paraId="49077925" w14:textId="77777777" w:rsidR="00B4390E" w:rsidRPr="00B4390E" w:rsidRDefault="00B4390E" w:rsidP="00B4390E">
      <w:pPr>
        <w:numPr>
          <w:ilvl w:val="0"/>
          <w:numId w:val="76"/>
        </w:numPr>
      </w:pPr>
      <w:r w:rsidRPr="00B4390E">
        <w:rPr>
          <w:b/>
          <w:bCs/>
        </w:rPr>
        <w:t>AI Boom</w:t>
      </w:r>
      <w:r w:rsidRPr="00B4390E">
        <w:t>: The surge in demand for AI and data center solutions drove substantial revenue growth</w:t>
      </w:r>
    </w:p>
    <w:p w14:paraId="51138A01" w14:textId="3082490C" w:rsidR="00B4390E" w:rsidRPr="00B4390E" w:rsidRDefault="00B4390E" w:rsidP="00B4390E"/>
    <w:p w14:paraId="30E904C4" w14:textId="0709DB90" w:rsidR="00B4390E" w:rsidRPr="00B4390E" w:rsidRDefault="00B4390E" w:rsidP="00B4390E">
      <w:pPr>
        <w:numPr>
          <w:ilvl w:val="0"/>
          <w:numId w:val="76"/>
        </w:numPr>
      </w:pPr>
      <w:r w:rsidRPr="00B4390E">
        <w:rPr>
          <w:b/>
          <w:bCs/>
        </w:rPr>
        <w:t>Product Launches</w:t>
      </w:r>
      <w:r w:rsidRPr="00B4390E">
        <w:t>: Successful launches of new GPUs and AI products boosted investor confidence</w:t>
      </w:r>
    </w:p>
    <w:p w14:paraId="7668AE9D" w14:textId="77777777" w:rsidR="00B4390E" w:rsidRPr="00B4390E" w:rsidRDefault="00B4390E" w:rsidP="00B4390E">
      <w:pPr>
        <w:numPr>
          <w:ilvl w:val="0"/>
          <w:numId w:val="76"/>
        </w:numPr>
      </w:pPr>
      <w:r w:rsidRPr="00B4390E">
        <w:rPr>
          <w:b/>
          <w:bCs/>
        </w:rPr>
        <w:t>Strategic Investments</w:t>
      </w:r>
      <w:r w:rsidRPr="00B4390E">
        <w:t>: NVIDIA's investments in AI startups and R&amp;D paid off, enhancing their market value</w:t>
      </w:r>
    </w:p>
    <w:p w14:paraId="73C13949" w14:textId="238D823B" w:rsidR="00B4390E" w:rsidRPr="00B4390E" w:rsidRDefault="00B4390E" w:rsidP="00B4390E"/>
    <w:p w14:paraId="56BFA8F1" w14:textId="77777777" w:rsidR="00B4390E" w:rsidRPr="00B4390E" w:rsidRDefault="00B4390E" w:rsidP="00B4390E">
      <w:pPr>
        <w:rPr>
          <w:b/>
          <w:bCs/>
        </w:rPr>
      </w:pPr>
      <w:r w:rsidRPr="00B4390E">
        <w:rPr>
          <w:b/>
          <w:bCs/>
        </w:rPr>
        <w:t>2025: Growth Rate Drop (131.70%)</w:t>
      </w:r>
    </w:p>
    <w:p w14:paraId="11C11679" w14:textId="77777777" w:rsidR="00B4390E" w:rsidRPr="00B4390E" w:rsidRDefault="00B4390E" w:rsidP="00B4390E">
      <w:pPr>
        <w:numPr>
          <w:ilvl w:val="0"/>
          <w:numId w:val="77"/>
        </w:numPr>
      </w:pPr>
      <w:r w:rsidRPr="00B4390E">
        <w:rPr>
          <w:b/>
          <w:bCs/>
        </w:rPr>
        <w:t>Market Saturation</w:t>
      </w:r>
      <w:r w:rsidRPr="00B4390E">
        <w:t>: As NVIDIA's products became more widespread, the rapid initial growth naturally slowed down</w:t>
      </w:r>
    </w:p>
    <w:p w14:paraId="6F3D4CB6" w14:textId="034351E9" w:rsidR="00B4390E" w:rsidRPr="00B4390E" w:rsidRDefault="00B4390E" w:rsidP="00B4390E"/>
    <w:p w14:paraId="1D9653C5" w14:textId="2248AA16" w:rsidR="00B4390E" w:rsidRPr="00B4390E" w:rsidRDefault="00B4390E" w:rsidP="00B4390E">
      <w:pPr>
        <w:numPr>
          <w:ilvl w:val="0"/>
          <w:numId w:val="77"/>
        </w:numPr>
      </w:pPr>
      <w:r w:rsidRPr="00B4390E">
        <w:rPr>
          <w:b/>
          <w:bCs/>
        </w:rPr>
        <w:t>Economic Factors</w:t>
      </w:r>
      <w:r w:rsidRPr="00B4390E">
        <w:t>: Broader economic conditions, including inflation and interest rate changes, affected market valuations</w:t>
      </w:r>
    </w:p>
    <w:p w14:paraId="25703C0C" w14:textId="24AAA105" w:rsidR="00B4390E" w:rsidRDefault="00B4390E" w:rsidP="00B4390E">
      <w:pPr>
        <w:numPr>
          <w:ilvl w:val="0"/>
          <w:numId w:val="77"/>
        </w:numPr>
      </w:pPr>
      <w:r w:rsidRPr="00B4390E">
        <w:rPr>
          <w:b/>
          <w:bCs/>
        </w:rPr>
        <w:t>Stock Performance</w:t>
      </w:r>
      <w:r w:rsidRPr="00B4390E">
        <w:t>: While still growing, the stock price faced some corrections after the previous year's significant gains</w:t>
      </w:r>
    </w:p>
    <w:p w14:paraId="749CD072" w14:textId="77777777" w:rsidR="00B4216B" w:rsidRPr="00B4216B" w:rsidRDefault="00B4216B" w:rsidP="00B4216B">
      <w:r w:rsidRPr="00B4216B">
        <w:t>The increase in NVIDIA's inventory turnover ratio in 2025 can be attributed to several factors:</w:t>
      </w:r>
    </w:p>
    <w:p w14:paraId="3EF5A218" w14:textId="77777777" w:rsidR="00B4216B" w:rsidRPr="00B4216B" w:rsidRDefault="00B4216B" w:rsidP="00B4216B">
      <w:pPr>
        <w:rPr>
          <w:b/>
          <w:bCs/>
        </w:rPr>
      </w:pPr>
      <w:r w:rsidRPr="00B4216B">
        <w:rPr>
          <w:b/>
          <w:bCs/>
        </w:rPr>
        <w:t>1. Higher Sales Volume</w:t>
      </w:r>
    </w:p>
    <w:p w14:paraId="70585625" w14:textId="77777777" w:rsidR="00B4216B" w:rsidRPr="00B4216B" w:rsidRDefault="00B4216B" w:rsidP="00B4216B">
      <w:pPr>
        <w:numPr>
          <w:ilvl w:val="0"/>
          <w:numId w:val="78"/>
        </w:numPr>
      </w:pPr>
      <w:r w:rsidRPr="00B4216B">
        <w:rPr>
          <w:b/>
          <w:bCs/>
        </w:rPr>
        <w:t>Increased Demand</w:t>
      </w:r>
      <w:r w:rsidRPr="00B4216B">
        <w:t>: The demand for NVIDIA's AI and GPU products surged, leading to higher sales volumes. This increased the frequency at which inventory was sold and replaced</w:t>
      </w:r>
    </w:p>
    <w:p w14:paraId="48942E4E" w14:textId="245FF709" w:rsidR="00B4216B" w:rsidRPr="00B4216B" w:rsidRDefault="00B4216B" w:rsidP="00B4216B"/>
    <w:p w14:paraId="77C14C16" w14:textId="77777777" w:rsidR="00B4216B" w:rsidRPr="00B4216B" w:rsidRDefault="00B4216B" w:rsidP="00B4216B">
      <w:pPr>
        <w:numPr>
          <w:ilvl w:val="0"/>
          <w:numId w:val="78"/>
        </w:numPr>
      </w:pPr>
      <w:r w:rsidRPr="00B4216B">
        <w:rPr>
          <w:b/>
          <w:bCs/>
        </w:rPr>
        <w:t>Product Launches</w:t>
      </w:r>
      <w:r w:rsidRPr="00B4216B">
        <w:t>: Successful launches of new products like the GeForce RTX 50 Series and advancements in AI solutions contributed to higher sales</w:t>
      </w:r>
    </w:p>
    <w:p w14:paraId="493FEDE5" w14:textId="726BB786" w:rsidR="00B4216B" w:rsidRPr="00B4216B" w:rsidRDefault="00B4216B" w:rsidP="00B4216B"/>
    <w:p w14:paraId="34965497" w14:textId="77777777" w:rsidR="00B4216B" w:rsidRPr="00B4216B" w:rsidRDefault="00B4216B" w:rsidP="00B4216B">
      <w:pPr>
        <w:rPr>
          <w:b/>
          <w:bCs/>
        </w:rPr>
      </w:pPr>
      <w:r w:rsidRPr="00B4216B">
        <w:rPr>
          <w:b/>
          <w:bCs/>
        </w:rPr>
        <w:t>2. Efficient Inventory Management</w:t>
      </w:r>
    </w:p>
    <w:p w14:paraId="0637FC00" w14:textId="77777777" w:rsidR="00B4216B" w:rsidRPr="00B4216B" w:rsidRDefault="00B4216B" w:rsidP="00B4216B">
      <w:pPr>
        <w:numPr>
          <w:ilvl w:val="0"/>
          <w:numId w:val="79"/>
        </w:numPr>
      </w:pPr>
      <w:r w:rsidRPr="00B4216B">
        <w:rPr>
          <w:b/>
          <w:bCs/>
        </w:rPr>
        <w:lastRenderedPageBreak/>
        <w:t>Improved Supply Chain</w:t>
      </w:r>
      <w:r w:rsidRPr="00B4216B">
        <w:t>: NVIDIA likely optimized its supply chain processes, reducing the time inventory stayed in stock</w:t>
      </w:r>
    </w:p>
    <w:p w14:paraId="0DBC0C92" w14:textId="4450B8A7" w:rsidR="00B4216B" w:rsidRPr="00B4216B" w:rsidRDefault="00B4216B" w:rsidP="00B4216B"/>
    <w:p w14:paraId="023AFDC8" w14:textId="77777777" w:rsidR="00B4216B" w:rsidRPr="00B4216B" w:rsidRDefault="00B4216B" w:rsidP="00B4216B">
      <w:pPr>
        <w:numPr>
          <w:ilvl w:val="0"/>
          <w:numId w:val="79"/>
        </w:numPr>
      </w:pPr>
      <w:r w:rsidRPr="00B4216B">
        <w:rPr>
          <w:b/>
          <w:bCs/>
        </w:rPr>
        <w:t>Just-In-Time Inventory</w:t>
      </w:r>
      <w:r w:rsidRPr="00B4216B">
        <w:t>: Implementing just-in-time inventory practices helped minimize excess stock and improved turnover rates</w:t>
      </w:r>
    </w:p>
    <w:p w14:paraId="5ED80F2A" w14:textId="217E5A5F" w:rsidR="00B4216B" w:rsidRPr="00B4216B" w:rsidRDefault="00B4216B" w:rsidP="00B4216B"/>
    <w:p w14:paraId="21CA9913" w14:textId="77777777" w:rsidR="00B4216B" w:rsidRPr="00B4216B" w:rsidRDefault="00B4216B" w:rsidP="00B4216B">
      <w:pPr>
        <w:rPr>
          <w:b/>
          <w:bCs/>
        </w:rPr>
      </w:pPr>
      <w:r w:rsidRPr="00B4216B">
        <w:rPr>
          <w:b/>
          <w:bCs/>
        </w:rPr>
        <w:t>3. Market Conditions</w:t>
      </w:r>
    </w:p>
    <w:p w14:paraId="745F2712" w14:textId="77777777" w:rsidR="00B4216B" w:rsidRPr="00B4216B" w:rsidRDefault="00B4216B" w:rsidP="00B4216B">
      <w:pPr>
        <w:numPr>
          <w:ilvl w:val="0"/>
          <w:numId w:val="80"/>
        </w:numPr>
      </w:pPr>
      <w:r w:rsidRPr="00B4216B">
        <w:rPr>
          <w:b/>
          <w:bCs/>
        </w:rPr>
        <w:t>Economic Recovery</w:t>
      </w:r>
      <w:r w:rsidRPr="00B4216B">
        <w:t>: The broader economic recovery and increased spending on technology products positively impacted NVIDIA's sales</w:t>
      </w:r>
    </w:p>
    <w:p w14:paraId="7970CEDF" w14:textId="03B9C2B2" w:rsidR="00B4216B" w:rsidRPr="00B4216B" w:rsidRDefault="00B4216B" w:rsidP="00B4216B"/>
    <w:p w14:paraId="77BD39A5" w14:textId="77777777" w:rsidR="00B4216B" w:rsidRPr="00B4216B" w:rsidRDefault="00B4216B" w:rsidP="00B4216B">
      <w:pPr>
        <w:numPr>
          <w:ilvl w:val="0"/>
          <w:numId w:val="80"/>
        </w:numPr>
      </w:pPr>
      <w:r w:rsidRPr="00B4216B">
        <w:rPr>
          <w:b/>
          <w:bCs/>
        </w:rPr>
        <w:t>Competitive Position</w:t>
      </w:r>
      <w:r w:rsidRPr="00B4216B">
        <w:t>: NVIDIA's strong market position and innovative products helped maintain high sales momentum</w:t>
      </w:r>
    </w:p>
    <w:p w14:paraId="4D8E4142" w14:textId="171F64AC" w:rsidR="00B4216B" w:rsidRPr="00B4216B" w:rsidRDefault="00B4216B" w:rsidP="00B4216B"/>
    <w:p w14:paraId="656A683A" w14:textId="77777777" w:rsidR="00B4216B" w:rsidRPr="00B4216B" w:rsidRDefault="00B4216B" w:rsidP="00B4216B">
      <w:pPr>
        <w:rPr>
          <w:b/>
          <w:bCs/>
        </w:rPr>
      </w:pPr>
      <w:r w:rsidRPr="00B4216B">
        <w:rPr>
          <w:b/>
          <w:bCs/>
        </w:rPr>
        <w:t>Specific Numbers</w:t>
      </w:r>
    </w:p>
    <w:p w14:paraId="3E2D5E73" w14:textId="77777777" w:rsidR="00B4216B" w:rsidRPr="00B4216B" w:rsidRDefault="00B4216B" w:rsidP="00B4216B">
      <w:pPr>
        <w:numPr>
          <w:ilvl w:val="0"/>
          <w:numId w:val="81"/>
        </w:numPr>
      </w:pPr>
      <w:r w:rsidRPr="00B4216B">
        <w:rPr>
          <w:b/>
          <w:bCs/>
        </w:rPr>
        <w:t>Inventory Turnover Ratio</w:t>
      </w:r>
      <w:r w:rsidRPr="00B4216B">
        <w:t>: Increased to 4.25 in FY 2025 from 3.18 in FY 2024</w:t>
      </w:r>
    </w:p>
    <w:p w14:paraId="5CD35DFA" w14:textId="63A16291" w:rsidR="00B4216B" w:rsidRPr="00B4216B" w:rsidRDefault="00B4216B" w:rsidP="00B4216B"/>
    <w:p w14:paraId="33C92174" w14:textId="77777777" w:rsidR="00B4216B" w:rsidRPr="00B4216B" w:rsidRDefault="00B4216B" w:rsidP="00B4216B">
      <w:pPr>
        <w:numPr>
          <w:ilvl w:val="0"/>
          <w:numId w:val="81"/>
        </w:numPr>
      </w:pPr>
      <w:r w:rsidRPr="00B4216B">
        <w:rPr>
          <w:b/>
          <w:bCs/>
        </w:rPr>
        <w:t>Revenue</w:t>
      </w:r>
      <w:r w:rsidRPr="00B4216B">
        <w:t>: Grew to $130.497 billion in FY 2025 from $60.922 billion in FY 2024</w:t>
      </w:r>
    </w:p>
    <w:p w14:paraId="355D7C32" w14:textId="1970F8B1" w:rsidR="00B4216B" w:rsidRPr="00B4216B" w:rsidRDefault="00B4216B" w:rsidP="00B4216B"/>
    <w:p w14:paraId="40CA00BB" w14:textId="116A0058" w:rsidR="00B4216B" w:rsidRPr="00B4216B" w:rsidRDefault="00B4216B" w:rsidP="00B4216B">
      <w:pPr>
        <w:numPr>
          <w:ilvl w:val="0"/>
          <w:numId w:val="81"/>
        </w:numPr>
      </w:pPr>
      <w:r w:rsidRPr="00B4216B">
        <w:rPr>
          <w:b/>
          <w:bCs/>
        </w:rPr>
        <w:t>Cost of Revenue</w:t>
      </w:r>
      <w:r w:rsidRPr="00B4216B">
        <w:t>: Increased to $32.639 billion in FY 2025 from $16.621 billion in FY 2024</w:t>
      </w:r>
    </w:p>
    <w:p w14:paraId="208AE9D1" w14:textId="77777777" w:rsidR="00B4216B" w:rsidRPr="00B4216B" w:rsidRDefault="00B4216B" w:rsidP="00B4216B">
      <w:r w:rsidRPr="00B4216B">
        <w:t>These factors collectively contributed to the improved inventory turnover ratio in 2025, reflecting efficient inventory management and strong sales performance.</w:t>
      </w:r>
    </w:p>
    <w:p w14:paraId="68F43975" w14:textId="77777777" w:rsidR="00B4216B" w:rsidRPr="00B4390E" w:rsidRDefault="00B4216B" w:rsidP="00B4216B"/>
    <w:p w14:paraId="3FC882ED" w14:textId="1B599708" w:rsidR="005B2275" w:rsidRPr="005B2275" w:rsidRDefault="005B2275" w:rsidP="005B2275">
      <w:r w:rsidRPr="005B2275">
        <w:t xml:space="preserve">Nvidia's buyback yield ratio dropped in 2025 primarily due to a significant reduction in the </w:t>
      </w:r>
      <w:proofErr w:type="gramStart"/>
      <w:r w:rsidRPr="005B2275">
        <w:t>amount</w:t>
      </w:r>
      <w:proofErr w:type="gramEnd"/>
      <w:r w:rsidRPr="005B2275">
        <w:t xml:space="preserve"> of shares repurchased compared to previous years. Despite a substantial buyback program in 2024, Nvidia's buyback yield decreased as the company shifted its focus towards other strategic investments and managing its cash flow more conservatively</w:t>
      </w:r>
    </w:p>
    <w:p w14:paraId="0A539E29" w14:textId="77777777" w:rsidR="005B2275" w:rsidRPr="005B2275" w:rsidRDefault="005B2275" w:rsidP="005B2275">
      <w:r w:rsidRPr="005B2275">
        <w:lastRenderedPageBreak/>
        <w:t>Additionally, fluctuations in Nvidia's stock price and market capitalization also contributed to the lower buyback yield. When the stock price is high, the same amount of repurchased shares results in a lower yield</w:t>
      </w:r>
    </w:p>
    <w:p w14:paraId="75875D3C" w14:textId="66FA67A7" w:rsidR="005B2275" w:rsidRPr="005B2275" w:rsidRDefault="005B2275" w:rsidP="005B2275"/>
    <w:p w14:paraId="0D070822" w14:textId="77777777" w:rsidR="005B2275" w:rsidRPr="005B2275" w:rsidRDefault="005B2275" w:rsidP="005B2275">
      <w:r w:rsidRPr="005B2275">
        <w:t>Copilot</w:t>
      </w:r>
    </w:p>
    <w:p w14:paraId="61CFC98E" w14:textId="77777777" w:rsidR="005B2275" w:rsidRPr="005B2275" w:rsidRDefault="005B2275" w:rsidP="005B2275">
      <w:r w:rsidRPr="005B2275">
        <w:t>Nvidia's buyback yield ratio experienced significant fluctuations between 2021 and 2025 due to several factors:</w:t>
      </w:r>
    </w:p>
    <w:p w14:paraId="7B74382E" w14:textId="77777777" w:rsidR="005B2275" w:rsidRPr="005B2275" w:rsidRDefault="005B2275" w:rsidP="005B2275">
      <w:pPr>
        <w:numPr>
          <w:ilvl w:val="0"/>
          <w:numId w:val="82"/>
        </w:numPr>
      </w:pPr>
      <w:r w:rsidRPr="005B2275">
        <w:rPr>
          <w:b/>
          <w:bCs/>
        </w:rPr>
        <w:t>Negative Buyback Yield in 2021 and 2022</w:t>
      </w:r>
      <w:r w:rsidRPr="005B2275">
        <w:t>:</w:t>
      </w:r>
    </w:p>
    <w:p w14:paraId="349C369F" w14:textId="77777777" w:rsidR="005B2275" w:rsidRPr="005B2275" w:rsidRDefault="005B2275" w:rsidP="005B2275">
      <w:pPr>
        <w:numPr>
          <w:ilvl w:val="1"/>
          <w:numId w:val="83"/>
        </w:numPr>
      </w:pPr>
      <w:r w:rsidRPr="005B2275">
        <w:t>During these years, Nvidia's buyback yield was negative, indicating that the company issued more shares than it repurchased. This could be due to stock-based compensation for employees or raising capital through equity</w:t>
      </w:r>
    </w:p>
    <w:p w14:paraId="52F743A8" w14:textId="14B87153" w:rsidR="005B2275" w:rsidRPr="005B2275" w:rsidRDefault="005B2275" w:rsidP="005B2275"/>
    <w:p w14:paraId="72EB5507" w14:textId="77777777" w:rsidR="005B2275" w:rsidRPr="005B2275" w:rsidRDefault="005B2275" w:rsidP="005B2275">
      <w:pPr>
        <w:numPr>
          <w:ilvl w:val="0"/>
          <w:numId w:val="82"/>
        </w:numPr>
      </w:pPr>
      <w:r w:rsidRPr="005B2275">
        <w:rPr>
          <w:b/>
          <w:bCs/>
        </w:rPr>
        <w:t>Sudden Increase in 2023</w:t>
      </w:r>
      <w:r w:rsidRPr="005B2275">
        <w:t>:</w:t>
      </w:r>
    </w:p>
    <w:p w14:paraId="64DB14DD" w14:textId="2A14B7D3" w:rsidR="005B2275" w:rsidRPr="005B2275" w:rsidRDefault="005B2275" w:rsidP="005B2275">
      <w:pPr>
        <w:numPr>
          <w:ilvl w:val="1"/>
          <w:numId w:val="84"/>
        </w:numPr>
      </w:pPr>
      <w:r w:rsidRPr="005B2275">
        <w:t>In 2023, Nvidia's buyback yield peaked at 2.3%</w:t>
      </w:r>
    </w:p>
    <w:p w14:paraId="43BC5107" w14:textId="77777777" w:rsidR="005B2275" w:rsidRPr="005B2275" w:rsidRDefault="005B2275" w:rsidP="005B2275">
      <w:r w:rsidRPr="005B2275">
        <w:t>. This sharp increase was likely driven by a substantial share repurchase program, reflecting the company's strong financial performance and confidence in its future growth</w:t>
      </w:r>
    </w:p>
    <w:p w14:paraId="2A7D6537" w14:textId="5C0DF4D5" w:rsidR="005B2275" w:rsidRPr="005B2275" w:rsidRDefault="005B2275" w:rsidP="005B2275"/>
    <w:p w14:paraId="27A0C97F" w14:textId="77777777" w:rsidR="005B2275" w:rsidRPr="005B2275" w:rsidRDefault="005B2275" w:rsidP="005B2275">
      <w:r w:rsidRPr="005B2275">
        <w:t xml:space="preserve">. Nvidia repurchased a significant </w:t>
      </w:r>
      <w:proofErr w:type="gramStart"/>
      <w:r w:rsidRPr="005B2275">
        <w:t>amount</w:t>
      </w:r>
      <w:proofErr w:type="gramEnd"/>
      <w:r w:rsidRPr="005B2275">
        <w:t xml:space="preserve"> of shares, which boosted the buyback yield.</w:t>
      </w:r>
    </w:p>
    <w:p w14:paraId="5E5ED0CC" w14:textId="77777777" w:rsidR="005B2275" w:rsidRPr="005B2275" w:rsidRDefault="005B2275" w:rsidP="005B2275">
      <w:pPr>
        <w:numPr>
          <w:ilvl w:val="0"/>
          <w:numId w:val="82"/>
        </w:numPr>
      </w:pPr>
      <w:r w:rsidRPr="005B2275">
        <w:rPr>
          <w:b/>
          <w:bCs/>
        </w:rPr>
        <w:t>Drop in 2024 and 2025</w:t>
      </w:r>
      <w:r w:rsidRPr="005B2275">
        <w:t>:</w:t>
      </w:r>
    </w:p>
    <w:p w14:paraId="767CFCC5" w14:textId="77777777" w:rsidR="005B2275" w:rsidRPr="005B2275" w:rsidRDefault="005B2275" w:rsidP="005B2275">
      <w:pPr>
        <w:numPr>
          <w:ilvl w:val="1"/>
          <w:numId w:val="85"/>
        </w:numPr>
      </w:pPr>
      <w:r w:rsidRPr="005B2275">
        <w:t>The buyback yield dropped again in 2024 and 2025. This decline can be attributed to a combination of factors:</w:t>
      </w:r>
    </w:p>
    <w:p w14:paraId="7D075172" w14:textId="441B07FB" w:rsidR="005B2275" w:rsidRPr="005B2275" w:rsidRDefault="005B2275" w:rsidP="005B2275">
      <w:pPr>
        <w:numPr>
          <w:ilvl w:val="2"/>
          <w:numId w:val="86"/>
        </w:numPr>
      </w:pPr>
      <w:r w:rsidRPr="005B2275">
        <w:rPr>
          <w:b/>
          <w:bCs/>
        </w:rPr>
        <w:t>Reduced Share Repurchases</w:t>
      </w:r>
      <w:r w:rsidRPr="005B2275">
        <w:t>: Nvidia may have scaled back its share repurchase program to allocate funds towards other strategic investments or to maintain a more conservative cash flow management</w:t>
      </w:r>
    </w:p>
    <w:p w14:paraId="24840BEB" w14:textId="14F46CD3" w:rsidR="005B2275" w:rsidRDefault="005B2275" w:rsidP="005B2275">
      <w:pPr>
        <w:numPr>
          <w:ilvl w:val="2"/>
          <w:numId w:val="87"/>
        </w:numPr>
      </w:pPr>
      <w:r w:rsidRPr="005B2275">
        <w:rPr>
          <w:b/>
          <w:bCs/>
        </w:rPr>
        <w:t>Stock Price Increase</w:t>
      </w:r>
      <w:r w:rsidRPr="005B2275">
        <w:t xml:space="preserve">: As Nvidia's stock price increased, the same </w:t>
      </w:r>
      <w:proofErr w:type="gramStart"/>
      <w:r w:rsidRPr="005B2275">
        <w:t>amount</w:t>
      </w:r>
      <w:proofErr w:type="gramEnd"/>
      <w:r w:rsidRPr="005B2275">
        <w:t xml:space="preserve"> of repurchased shares resulted in a lower buyback yield</w:t>
      </w:r>
    </w:p>
    <w:p w14:paraId="2B966D6F" w14:textId="77777777" w:rsidR="00146B8C" w:rsidRPr="00146B8C" w:rsidRDefault="00146B8C" w:rsidP="00146B8C">
      <w:pPr>
        <w:ind w:left="720"/>
      </w:pPr>
      <w:r w:rsidRPr="00146B8C">
        <w:t>Nvidia's dividend yield ratios have been decreasing from 2021 to 2025 due to several factors:</w:t>
      </w:r>
    </w:p>
    <w:p w14:paraId="44F0F971" w14:textId="77777777" w:rsidR="00146B8C" w:rsidRPr="00146B8C" w:rsidRDefault="00146B8C" w:rsidP="00146B8C">
      <w:pPr>
        <w:numPr>
          <w:ilvl w:val="0"/>
          <w:numId w:val="88"/>
        </w:numPr>
      </w:pPr>
      <w:r w:rsidRPr="00146B8C">
        <w:rPr>
          <w:b/>
          <w:bCs/>
        </w:rPr>
        <w:lastRenderedPageBreak/>
        <w:t>Stock Price Increase</w:t>
      </w:r>
      <w:r w:rsidRPr="00146B8C">
        <w:t>: Nvidia's stock price has significantly increased over these years. Since dividend yield is calculated as the annual dividend per share divided by the stock price, a higher stock price results in a lower yield, even if the dividend amount remains the same</w:t>
      </w:r>
    </w:p>
    <w:p w14:paraId="2CBD8A79" w14:textId="1C9386C2" w:rsidR="00146B8C" w:rsidRPr="00146B8C" w:rsidRDefault="00146B8C" w:rsidP="00146B8C"/>
    <w:p w14:paraId="7E761553" w14:textId="77777777" w:rsidR="00146B8C" w:rsidRPr="00146B8C" w:rsidRDefault="00146B8C" w:rsidP="00146B8C">
      <w:pPr>
        <w:numPr>
          <w:ilvl w:val="0"/>
          <w:numId w:val="88"/>
        </w:numPr>
      </w:pPr>
      <w:r w:rsidRPr="00146B8C">
        <w:rPr>
          <w:b/>
          <w:bCs/>
        </w:rPr>
        <w:t>Stable or Modest Dividend Payments</w:t>
      </w:r>
      <w:r w:rsidRPr="00146B8C">
        <w:t>: Nvidia has maintained relatively stable or modest increases in its dividend payments. For example, the annual dividend per share has been around $0.04, which is quite low compared to the stock price</w:t>
      </w:r>
    </w:p>
    <w:p w14:paraId="403AA98B" w14:textId="042DA685" w:rsidR="00146B8C" w:rsidRPr="00146B8C" w:rsidRDefault="00146B8C" w:rsidP="00146B8C">
      <w:pPr>
        <w:ind w:left="720"/>
      </w:pPr>
    </w:p>
    <w:p w14:paraId="25870F71" w14:textId="77777777" w:rsidR="00146B8C" w:rsidRPr="00146B8C" w:rsidRDefault="00146B8C" w:rsidP="00146B8C">
      <w:pPr>
        <w:numPr>
          <w:ilvl w:val="0"/>
          <w:numId w:val="88"/>
        </w:numPr>
      </w:pPr>
      <w:r w:rsidRPr="00146B8C">
        <w:rPr>
          <w:b/>
          <w:bCs/>
        </w:rPr>
        <w:t>Focus on Growth and Investments</w:t>
      </w:r>
      <w:r w:rsidRPr="00146B8C">
        <w:t>: Nvidia has been focusing on reinvesting its earnings into growth opportunities, such as research and development, acquisitions, and expanding its market presence. This strategic allocation of funds means less emphasis on increasing dividend payouts</w:t>
      </w:r>
    </w:p>
    <w:p w14:paraId="654D81BC" w14:textId="6FB9BAAB" w:rsidR="00146B8C" w:rsidRPr="00146B8C" w:rsidRDefault="00146B8C" w:rsidP="00146B8C">
      <w:pPr>
        <w:ind w:left="360"/>
      </w:pPr>
    </w:p>
    <w:p w14:paraId="6CFB8A90" w14:textId="77777777" w:rsidR="005B2275" w:rsidRPr="005B2275" w:rsidRDefault="005B2275" w:rsidP="00146B8C">
      <w:pPr>
        <w:ind w:left="720"/>
      </w:pPr>
    </w:p>
    <w:p w14:paraId="41A4E779" w14:textId="77777777" w:rsidR="00645896" w:rsidRPr="00CF4871" w:rsidRDefault="00645896" w:rsidP="00CF4871"/>
    <w:p w14:paraId="622B7432" w14:textId="77777777" w:rsidR="00CF4871" w:rsidRDefault="00CF4871"/>
    <w:p w14:paraId="2DB06E6D" w14:textId="77777777" w:rsidR="00566648" w:rsidRDefault="00566648"/>
    <w:p w14:paraId="7993EC34" w14:textId="77777777" w:rsidR="00566648" w:rsidRDefault="00566648"/>
    <w:p w14:paraId="47B2E35C" w14:textId="77777777" w:rsidR="00566648" w:rsidRDefault="00566648"/>
    <w:p w14:paraId="22C1E559" w14:textId="77777777" w:rsidR="00566648" w:rsidRDefault="00566648"/>
    <w:p w14:paraId="20D1147F" w14:textId="77777777" w:rsidR="00566648" w:rsidRDefault="00566648"/>
    <w:p w14:paraId="3A1FFBC4" w14:textId="77777777" w:rsidR="00566648" w:rsidRDefault="00566648"/>
    <w:p w14:paraId="3F2443C0" w14:textId="77777777" w:rsidR="00566648" w:rsidRDefault="00566648"/>
    <w:p w14:paraId="7C92531C" w14:textId="77777777" w:rsidR="00566648" w:rsidRDefault="00566648"/>
    <w:p w14:paraId="41BF804F" w14:textId="77777777" w:rsidR="00566648" w:rsidRDefault="00566648"/>
    <w:p w14:paraId="2095F2F8" w14:textId="77777777" w:rsidR="00566648" w:rsidRDefault="00566648"/>
    <w:p w14:paraId="3AA3DB83" w14:textId="77777777" w:rsidR="00566648" w:rsidRDefault="00566648"/>
    <w:p w14:paraId="467205A7" w14:textId="43BCC5AC" w:rsidR="00566648" w:rsidRPr="00566648" w:rsidRDefault="00566648" w:rsidP="00566648">
      <w:pPr>
        <w:jc w:val="center"/>
        <w:rPr>
          <w:b/>
          <w:bCs/>
        </w:rPr>
      </w:pPr>
      <w:r w:rsidRPr="00566648">
        <w:rPr>
          <w:b/>
          <w:bCs/>
        </w:rPr>
        <w:lastRenderedPageBreak/>
        <w:t>Ratios</w:t>
      </w:r>
    </w:p>
    <w:p w14:paraId="317084E6" w14:textId="454014FD" w:rsidR="00566648" w:rsidRDefault="00566648">
      <w:r w:rsidRPr="00566648">
        <w:drawing>
          <wp:inline distT="0" distB="0" distL="0" distR="0" wp14:anchorId="026C132E" wp14:editId="0BC2A4FC">
            <wp:extent cx="5943600" cy="3465830"/>
            <wp:effectExtent l="0" t="0" r="0" b="1270"/>
            <wp:docPr id="1530931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31971" name="Picture 1" descr="A screenshot of a computer&#10;&#10;AI-generated content may be incorrect."/>
                    <pic:cNvPicPr/>
                  </pic:nvPicPr>
                  <pic:blipFill>
                    <a:blip r:embed="rId5"/>
                    <a:stretch>
                      <a:fillRect/>
                    </a:stretch>
                  </pic:blipFill>
                  <pic:spPr>
                    <a:xfrm>
                      <a:off x="0" y="0"/>
                      <a:ext cx="5943600" cy="3465830"/>
                    </a:xfrm>
                    <a:prstGeom prst="rect">
                      <a:avLst/>
                    </a:prstGeom>
                  </pic:spPr>
                </pic:pic>
              </a:graphicData>
            </a:graphic>
          </wp:inline>
        </w:drawing>
      </w:r>
    </w:p>
    <w:p w14:paraId="60886094" w14:textId="77777777" w:rsidR="00566648" w:rsidRDefault="00566648"/>
    <w:p w14:paraId="16B6A800" w14:textId="77777777" w:rsidR="00566648" w:rsidRPr="00566648" w:rsidRDefault="00566648" w:rsidP="00566648">
      <w:r w:rsidRPr="00566648">
        <w:rPr>
          <w:b/>
          <w:bCs/>
        </w:rPr>
        <w:t>Key Insights:</w:t>
      </w:r>
    </w:p>
    <w:p w14:paraId="7857CB95" w14:textId="77777777" w:rsidR="00566648" w:rsidRPr="00566648" w:rsidRDefault="00566648" w:rsidP="00566648">
      <w:pPr>
        <w:numPr>
          <w:ilvl w:val="0"/>
          <w:numId w:val="89"/>
        </w:numPr>
      </w:pPr>
      <w:r w:rsidRPr="00566648">
        <w:rPr>
          <w:b/>
          <w:bCs/>
        </w:rPr>
        <w:t>Strong Liquidity:</w:t>
      </w:r>
    </w:p>
    <w:p w14:paraId="5B2A0D30" w14:textId="77777777" w:rsidR="00566648" w:rsidRPr="00566648" w:rsidRDefault="00566648" w:rsidP="00566648">
      <w:pPr>
        <w:numPr>
          <w:ilvl w:val="1"/>
          <w:numId w:val="89"/>
        </w:numPr>
      </w:pPr>
      <w:r w:rsidRPr="00566648">
        <w:rPr>
          <w:b/>
          <w:bCs/>
        </w:rPr>
        <w:t>Current Ratio:</w:t>
      </w:r>
      <w:r w:rsidRPr="00566648">
        <w:t xml:space="preserve"> Nvidia consistently maintains a high current ratio, well above 1. This indicates excellent short-term liquidity, suggesting the company can easily cover its short-term obligations with its current assets.   </w:t>
      </w:r>
    </w:p>
    <w:p w14:paraId="7748C03A" w14:textId="77777777" w:rsidR="00566648" w:rsidRPr="00566648" w:rsidRDefault="00566648" w:rsidP="00566648">
      <w:pPr>
        <w:numPr>
          <w:ilvl w:val="1"/>
          <w:numId w:val="89"/>
        </w:numPr>
      </w:pPr>
      <w:r w:rsidRPr="00566648">
        <w:rPr>
          <w:b/>
          <w:bCs/>
        </w:rPr>
        <w:t>Trend:</w:t>
      </w:r>
      <w:r w:rsidRPr="00566648">
        <w:t xml:space="preserve"> While the ratio has fluctuated, it remains strong, showing financial stability.</w:t>
      </w:r>
    </w:p>
    <w:p w14:paraId="3D037073" w14:textId="77777777" w:rsidR="00566648" w:rsidRPr="00566648" w:rsidRDefault="00566648" w:rsidP="00566648">
      <w:pPr>
        <w:numPr>
          <w:ilvl w:val="0"/>
          <w:numId w:val="89"/>
        </w:numPr>
      </w:pPr>
      <w:r w:rsidRPr="00566648">
        <w:rPr>
          <w:b/>
          <w:bCs/>
        </w:rPr>
        <w:t>Conservative Leverage:</w:t>
      </w:r>
    </w:p>
    <w:p w14:paraId="47FDBD86" w14:textId="77777777" w:rsidR="00566648" w:rsidRPr="00566648" w:rsidRDefault="00566648" w:rsidP="00566648">
      <w:pPr>
        <w:numPr>
          <w:ilvl w:val="1"/>
          <w:numId w:val="89"/>
        </w:numPr>
      </w:pPr>
      <w:r w:rsidRPr="00566648">
        <w:rPr>
          <w:b/>
          <w:bCs/>
        </w:rPr>
        <w:t>Long-term Debt / Capital and Debt/Equity Ratio:</w:t>
      </w:r>
      <w:r w:rsidRPr="00566648">
        <w:t xml:space="preserve"> Both ratios are relatively low, indicating conservative use of debt. This suggests Nvidia is primarily financed by equity, which is generally a positive sign.   </w:t>
      </w:r>
    </w:p>
    <w:p w14:paraId="6C5C9E09" w14:textId="77777777" w:rsidR="00566648" w:rsidRPr="00566648" w:rsidRDefault="00566648" w:rsidP="00566648">
      <w:pPr>
        <w:numPr>
          <w:ilvl w:val="1"/>
          <w:numId w:val="89"/>
        </w:numPr>
      </w:pPr>
      <w:r w:rsidRPr="00566648">
        <w:rPr>
          <w:b/>
          <w:bCs/>
        </w:rPr>
        <w:t>Trend:</w:t>
      </w:r>
      <w:r w:rsidRPr="00566648">
        <w:t xml:space="preserve"> Although there's a slight increase in leverage over the years, it's still within a healthy range.</w:t>
      </w:r>
    </w:p>
    <w:p w14:paraId="3827AFBD" w14:textId="77777777" w:rsidR="00566648" w:rsidRPr="00566648" w:rsidRDefault="00566648" w:rsidP="00566648">
      <w:pPr>
        <w:numPr>
          <w:ilvl w:val="0"/>
          <w:numId w:val="89"/>
        </w:numPr>
      </w:pPr>
      <w:r w:rsidRPr="00566648">
        <w:rPr>
          <w:b/>
          <w:bCs/>
        </w:rPr>
        <w:t>Excellent Profitability:</w:t>
      </w:r>
    </w:p>
    <w:p w14:paraId="658DB1DC" w14:textId="77777777" w:rsidR="00566648" w:rsidRPr="00566648" w:rsidRDefault="00566648" w:rsidP="00566648">
      <w:pPr>
        <w:numPr>
          <w:ilvl w:val="1"/>
          <w:numId w:val="89"/>
        </w:numPr>
      </w:pPr>
      <w:r w:rsidRPr="00566648">
        <w:rPr>
          <w:b/>
          <w:bCs/>
        </w:rPr>
        <w:lastRenderedPageBreak/>
        <w:t>Gross Margin, Operating Margin, EBIT Margin, EBITDA Margin, Pre-Tax Profit Margin, Net Profit Margin:</w:t>
      </w:r>
      <w:r w:rsidRPr="00566648">
        <w:t xml:space="preserve"> All profitability margins are consistently high and show strong performance. This indicates Nvidia's ability to generate profits from its sales and manage its expenses effectively.</w:t>
      </w:r>
    </w:p>
    <w:p w14:paraId="07ED3AB7" w14:textId="77777777" w:rsidR="00566648" w:rsidRPr="00566648" w:rsidRDefault="00566648" w:rsidP="00566648">
      <w:pPr>
        <w:numPr>
          <w:ilvl w:val="1"/>
          <w:numId w:val="89"/>
        </w:numPr>
      </w:pPr>
      <w:r w:rsidRPr="00566648">
        <w:rPr>
          <w:b/>
          <w:bCs/>
        </w:rPr>
        <w:t>Trend:</w:t>
      </w:r>
      <w:r w:rsidRPr="00566648">
        <w:t xml:space="preserve"> There's some fluctuation, but the margins remain robust, reflecting Nvidia's pricing power and operational efficiency.</w:t>
      </w:r>
    </w:p>
    <w:p w14:paraId="32F22046" w14:textId="77777777" w:rsidR="00566648" w:rsidRPr="00566648" w:rsidRDefault="00566648" w:rsidP="00566648">
      <w:pPr>
        <w:numPr>
          <w:ilvl w:val="0"/>
          <w:numId w:val="89"/>
        </w:numPr>
      </w:pPr>
      <w:r w:rsidRPr="00566648">
        <w:rPr>
          <w:b/>
          <w:bCs/>
        </w:rPr>
        <w:t>Efficient Asset Utilization:</w:t>
      </w:r>
    </w:p>
    <w:p w14:paraId="0DCCF433" w14:textId="77777777" w:rsidR="00566648" w:rsidRPr="00566648" w:rsidRDefault="00566648" w:rsidP="00566648">
      <w:pPr>
        <w:numPr>
          <w:ilvl w:val="1"/>
          <w:numId w:val="89"/>
        </w:numPr>
      </w:pPr>
      <w:r w:rsidRPr="00566648">
        <w:rPr>
          <w:b/>
          <w:bCs/>
        </w:rPr>
        <w:t>Asset Turnover:</w:t>
      </w:r>
      <w:r w:rsidRPr="00566648">
        <w:t xml:space="preserve"> The asset turnover is above 1, indicating efficient use of assets to generate sales. While there's a slight fluctuation, it's still a positive sign.</w:t>
      </w:r>
    </w:p>
    <w:p w14:paraId="0AC1090B" w14:textId="77777777" w:rsidR="00566648" w:rsidRPr="00566648" w:rsidRDefault="00566648" w:rsidP="00566648">
      <w:pPr>
        <w:numPr>
          <w:ilvl w:val="1"/>
          <w:numId w:val="89"/>
        </w:numPr>
      </w:pPr>
      <w:r w:rsidRPr="00566648">
        <w:rPr>
          <w:b/>
          <w:bCs/>
        </w:rPr>
        <w:t>Inventory Turnover Ratio:</w:t>
      </w:r>
      <w:r w:rsidRPr="00566648">
        <w:t xml:space="preserve"> This ratio shows how efficiently Nvidia manages its inventory. The trend suggests potential improvements in inventory management over time.</w:t>
      </w:r>
    </w:p>
    <w:p w14:paraId="2A84AD89" w14:textId="77777777" w:rsidR="00566648" w:rsidRPr="00566648" w:rsidRDefault="00566648" w:rsidP="00566648">
      <w:pPr>
        <w:numPr>
          <w:ilvl w:val="1"/>
          <w:numId w:val="89"/>
        </w:numPr>
      </w:pPr>
      <w:r w:rsidRPr="00566648">
        <w:rPr>
          <w:b/>
          <w:bCs/>
        </w:rPr>
        <w:t>Receivable Turnover:</w:t>
      </w:r>
      <w:r w:rsidRPr="00566648">
        <w:t xml:space="preserve"> This ratio indicates how quickly Nvidia collects its receivables. The trend shows some variability but generally suggests efficient collection practices.</w:t>
      </w:r>
    </w:p>
    <w:p w14:paraId="3F021FA2" w14:textId="77777777" w:rsidR="00566648" w:rsidRPr="00566648" w:rsidRDefault="00566648" w:rsidP="00566648">
      <w:pPr>
        <w:numPr>
          <w:ilvl w:val="1"/>
          <w:numId w:val="89"/>
        </w:numPr>
      </w:pPr>
      <w:r w:rsidRPr="00566648">
        <w:rPr>
          <w:b/>
          <w:bCs/>
        </w:rPr>
        <w:t xml:space="preserve">Days Sales </w:t>
      </w:r>
      <w:proofErr w:type="gramStart"/>
      <w:r w:rsidRPr="00566648">
        <w:rPr>
          <w:b/>
          <w:bCs/>
        </w:rPr>
        <w:t>In</w:t>
      </w:r>
      <w:proofErr w:type="gramEnd"/>
      <w:r w:rsidRPr="00566648">
        <w:rPr>
          <w:b/>
          <w:bCs/>
        </w:rPr>
        <w:t xml:space="preserve"> Receivables:</w:t>
      </w:r>
      <w:r w:rsidRPr="00566648">
        <w:t xml:space="preserve"> The days sales in receivables are relatively stable, indicating consistent collection periods.</w:t>
      </w:r>
    </w:p>
    <w:p w14:paraId="4F8472E7" w14:textId="77777777" w:rsidR="00566648" w:rsidRPr="00566648" w:rsidRDefault="00566648" w:rsidP="00566648">
      <w:pPr>
        <w:numPr>
          <w:ilvl w:val="0"/>
          <w:numId w:val="89"/>
        </w:numPr>
      </w:pPr>
      <w:r w:rsidRPr="00566648">
        <w:rPr>
          <w:b/>
          <w:bCs/>
        </w:rPr>
        <w:t>Strong Returns:</w:t>
      </w:r>
    </w:p>
    <w:p w14:paraId="2738D4B9" w14:textId="77777777" w:rsidR="00566648" w:rsidRPr="00566648" w:rsidRDefault="00566648" w:rsidP="00566648">
      <w:pPr>
        <w:numPr>
          <w:ilvl w:val="1"/>
          <w:numId w:val="89"/>
        </w:numPr>
      </w:pPr>
      <w:r w:rsidRPr="00566648">
        <w:rPr>
          <w:b/>
          <w:bCs/>
        </w:rPr>
        <w:t>ROE (Return on Equity), Return on Tangible Equity, ROA (Return on Assets), ROI (Return on Investment):</w:t>
      </w:r>
      <w:r w:rsidRPr="00566648">
        <w:t xml:space="preserve"> All return ratios are exceptionally high, indicating excellent profitability and efficient use of capital. This suggests that Nvidia is generating substantial returns for its shareholders.   </w:t>
      </w:r>
    </w:p>
    <w:p w14:paraId="4A4577A7" w14:textId="77777777" w:rsidR="00566648" w:rsidRPr="00566648" w:rsidRDefault="00566648" w:rsidP="00566648">
      <w:pPr>
        <w:numPr>
          <w:ilvl w:val="1"/>
          <w:numId w:val="89"/>
        </w:numPr>
      </w:pPr>
      <w:r w:rsidRPr="00566648">
        <w:rPr>
          <w:b/>
          <w:bCs/>
        </w:rPr>
        <w:t>Trend:</w:t>
      </w:r>
      <w:r w:rsidRPr="00566648">
        <w:t xml:space="preserve"> The returns have fluctuated but generally remain strong.</w:t>
      </w:r>
    </w:p>
    <w:p w14:paraId="660C0F37" w14:textId="77777777" w:rsidR="00566648" w:rsidRPr="00566648" w:rsidRDefault="00566648" w:rsidP="00566648">
      <w:pPr>
        <w:numPr>
          <w:ilvl w:val="0"/>
          <w:numId w:val="89"/>
        </w:numPr>
      </w:pPr>
      <w:r w:rsidRPr="00566648">
        <w:rPr>
          <w:b/>
          <w:bCs/>
        </w:rPr>
        <w:t>Growing Book Value:</w:t>
      </w:r>
    </w:p>
    <w:p w14:paraId="77B0B11B" w14:textId="77777777" w:rsidR="00566648" w:rsidRPr="00566648" w:rsidRDefault="00566648" w:rsidP="00566648">
      <w:pPr>
        <w:numPr>
          <w:ilvl w:val="1"/>
          <w:numId w:val="89"/>
        </w:numPr>
      </w:pPr>
      <w:r w:rsidRPr="00566648">
        <w:rPr>
          <w:b/>
          <w:bCs/>
        </w:rPr>
        <w:t>Book Value Per Share:</w:t>
      </w:r>
      <w:r w:rsidRPr="00566648">
        <w:t xml:space="preserve"> The book value per share has been steadily increasing, reflecting the company's growth and value creation.</w:t>
      </w:r>
    </w:p>
    <w:p w14:paraId="508749E0" w14:textId="77777777" w:rsidR="00566648" w:rsidRPr="00566648" w:rsidRDefault="00566648" w:rsidP="00566648">
      <w:pPr>
        <w:numPr>
          <w:ilvl w:val="0"/>
          <w:numId w:val="89"/>
        </w:numPr>
      </w:pPr>
      <w:r w:rsidRPr="00566648">
        <w:rPr>
          <w:b/>
          <w:bCs/>
        </w:rPr>
        <w:t>Positive Cash Flow:</w:t>
      </w:r>
    </w:p>
    <w:p w14:paraId="7129F3F5" w14:textId="77777777" w:rsidR="00566648" w:rsidRPr="00566648" w:rsidRDefault="00566648" w:rsidP="00566648">
      <w:pPr>
        <w:numPr>
          <w:ilvl w:val="1"/>
          <w:numId w:val="89"/>
        </w:numPr>
      </w:pPr>
      <w:r w:rsidRPr="00566648">
        <w:rPr>
          <w:b/>
          <w:bCs/>
        </w:rPr>
        <w:t>Operating Cash Flow Per Share and Free Cash Flow Per Share:</w:t>
      </w:r>
      <w:r w:rsidRPr="00566648">
        <w:t xml:space="preserve"> Both ratios are positive, indicating that Nvidia is generating cash from its operations. The trend shows some variability, but the overall cash flow position is healthy.</w:t>
      </w:r>
    </w:p>
    <w:p w14:paraId="7180F92F" w14:textId="77777777" w:rsidR="00566648" w:rsidRPr="00566648" w:rsidRDefault="00566648" w:rsidP="00566648">
      <w:r w:rsidRPr="00566648">
        <w:rPr>
          <w:b/>
          <w:bCs/>
        </w:rPr>
        <w:lastRenderedPageBreak/>
        <w:t>Overall Interpretation:</w:t>
      </w:r>
    </w:p>
    <w:p w14:paraId="7BE47196" w14:textId="77777777" w:rsidR="00566648" w:rsidRPr="00566648" w:rsidRDefault="00566648" w:rsidP="00566648">
      <w:r w:rsidRPr="00566648">
        <w:t>Nvidia's ratio analysis paints a picture of a financially strong and well-managed company. It exhibits excellent liquidity, conservative leverage, strong profitability, efficient asset utilization, high returns, and positive cash flow. These factors contribute to Nvidia's overall financial health and stability.</w:t>
      </w:r>
    </w:p>
    <w:p w14:paraId="05E68EE4" w14:textId="77777777" w:rsidR="00566648" w:rsidRPr="00566648" w:rsidRDefault="00566648" w:rsidP="00566648">
      <w:r w:rsidRPr="00566648">
        <w:rPr>
          <w:b/>
          <w:bCs/>
        </w:rPr>
        <w:t>Important Note:</w:t>
      </w:r>
    </w:p>
    <w:p w14:paraId="79047CFE" w14:textId="77777777" w:rsidR="00566648" w:rsidRPr="00566648" w:rsidRDefault="00566648" w:rsidP="00566648">
      <w:pPr>
        <w:numPr>
          <w:ilvl w:val="0"/>
          <w:numId w:val="90"/>
        </w:numPr>
      </w:pPr>
      <w:r w:rsidRPr="00566648">
        <w:rPr>
          <w:b/>
          <w:bCs/>
        </w:rPr>
        <w:t>Industry Context:</w:t>
      </w:r>
      <w:r w:rsidRPr="00566648">
        <w:t xml:space="preserve"> It's important to compare these ratios with industry averages and competitors to get a better understanding of Nvidia's relative performance.</w:t>
      </w:r>
    </w:p>
    <w:p w14:paraId="3C3C1702" w14:textId="77777777" w:rsidR="00566648" w:rsidRPr="00566648" w:rsidRDefault="00566648" w:rsidP="00566648">
      <w:pPr>
        <w:numPr>
          <w:ilvl w:val="0"/>
          <w:numId w:val="90"/>
        </w:numPr>
      </w:pPr>
      <w:r w:rsidRPr="00566648">
        <w:rPr>
          <w:b/>
          <w:bCs/>
        </w:rPr>
        <w:t>Growth Stage:</w:t>
      </w:r>
      <w:r w:rsidRPr="00566648">
        <w:t xml:space="preserve"> Nvidia is a growth-oriented company, and its ratios should be interpreted in that context.</w:t>
      </w:r>
    </w:p>
    <w:p w14:paraId="684B6F95" w14:textId="77777777" w:rsidR="00566648" w:rsidRPr="00566648" w:rsidRDefault="00566648" w:rsidP="00566648">
      <w:pPr>
        <w:numPr>
          <w:ilvl w:val="0"/>
          <w:numId w:val="90"/>
        </w:numPr>
      </w:pPr>
      <w:proofErr w:type="gramStart"/>
      <w:r w:rsidRPr="00566648">
        <w:rPr>
          <w:b/>
          <w:bCs/>
        </w:rPr>
        <w:t>Future Outlook</w:t>
      </w:r>
      <w:proofErr w:type="gramEnd"/>
      <w:r w:rsidRPr="00566648">
        <w:rPr>
          <w:b/>
          <w:bCs/>
        </w:rPr>
        <w:t>:</w:t>
      </w:r>
      <w:r w:rsidRPr="00566648">
        <w:t xml:space="preserve"> The analysis only provides a snapshot of the past and present. Future performance may vary based on market conditions, technological advancements, and the company's strategic decisions.</w:t>
      </w:r>
    </w:p>
    <w:p w14:paraId="43EF1613" w14:textId="77777777" w:rsidR="00566648" w:rsidRDefault="00566648"/>
    <w:p w14:paraId="1CEA3F7E" w14:textId="77777777" w:rsidR="009A2DE8" w:rsidRDefault="009A2DE8"/>
    <w:p w14:paraId="07C44001" w14:textId="77777777" w:rsidR="009A2DE8" w:rsidRPr="009A2DE8" w:rsidRDefault="009A2DE8" w:rsidP="009A2DE8">
      <w:r w:rsidRPr="009A2DE8">
        <w:rPr>
          <w:i/>
          <w:iCs/>
        </w:rPr>
        <w:t>“In periods of growth, we may place non-cancellable inventory orders for certain product components in advance of our historical lead times, pay premiums, or provide deposits to secure future supply and capacity and may need to continue to do so.” </w:t>
      </w:r>
    </w:p>
    <w:p w14:paraId="0ED82322" w14:textId="77777777" w:rsidR="009A2DE8" w:rsidRPr="009A2DE8" w:rsidRDefault="009A2DE8" w:rsidP="009A2DE8">
      <w:r w:rsidRPr="009A2DE8">
        <w:t>This strategic decision led to an uptick in </w:t>
      </w:r>
      <w:r w:rsidRPr="009A2DE8">
        <w:rPr>
          <w:b/>
          <w:bCs/>
        </w:rPr>
        <w:t>Days Inventory Outstanding (DIO)</w:t>
      </w:r>
      <w:r w:rsidRPr="009A2DE8">
        <w:t>, which increased from </w:t>
      </w:r>
      <w:r w:rsidRPr="009A2DE8">
        <w:rPr>
          <w:b/>
          <w:bCs/>
        </w:rPr>
        <w:t>86 days</w:t>
      </w:r>
      <w:r w:rsidRPr="009A2DE8">
        <w:t> in 2022 to </w:t>
      </w:r>
      <w:r w:rsidRPr="009A2DE8">
        <w:rPr>
          <w:b/>
          <w:bCs/>
        </w:rPr>
        <w:t>122 days</w:t>
      </w:r>
      <w:r w:rsidRPr="009A2DE8">
        <w:t> in 2023. While this initially strained the company’s </w:t>
      </w:r>
      <w:r w:rsidRPr="009A2DE8">
        <w:rPr>
          <w:b/>
          <w:bCs/>
        </w:rPr>
        <w:t>Cash Conversion Cycle (CCC)</w:t>
      </w:r>
      <w:proofErr w:type="gramStart"/>
      <w:r w:rsidRPr="009A2DE8">
        <w:t>—which</w:t>
      </w:r>
      <w:proofErr w:type="gramEnd"/>
      <w:r w:rsidRPr="009A2DE8">
        <w:t xml:space="preserve"> rose to </w:t>
      </w:r>
      <w:r w:rsidRPr="009A2DE8">
        <w:rPr>
          <w:b/>
          <w:bCs/>
        </w:rPr>
        <w:t>132 days</w:t>
      </w:r>
      <w:r w:rsidRPr="009A2DE8">
        <w:t> in 2023—the move positioned NVIDIA to meet the rapidly growing demand head-on.</w:t>
      </w:r>
    </w:p>
    <w:p w14:paraId="26409A6D" w14:textId="77777777" w:rsidR="009A2DE8" w:rsidRPr="009A2DE8" w:rsidRDefault="009A2DE8" w:rsidP="009A2DE8">
      <w:pPr>
        <w:rPr>
          <w:b/>
          <w:bCs/>
        </w:rPr>
      </w:pPr>
      <w:r w:rsidRPr="009A2DE8">
        <w:rPr>
          <w:b/>
          <w:bCs/>
        </w:rPr>
        <w:t>Reaping the rewards in 2024: A shorter CCC &amp; improved liquidity </w:t>
      </w:r>
    </w:p>
    <w:p w14:paraId="177113CD" w14:textId="77777777" w:rsidR="009A2DE8" w:rsidRPr="009A2DE8" w:rsidRDefault="009A2DE8" w:rsidP="009A2DE8">
      <w:r w:rsidRPr="009A2DE8">
        <w:t>By 2024, NVIDIA’s CCC had decreased by </w:t>
      </w:r>
      <w:r w:rsidRPr="009A2DE8">
        <w:rPr>
          <w:b/>
          <w:bCs/>
        </w:rPr>
        <w:t>19 days</w:t>
      </w:r>
      <w:r w:rsidRPr="009A2DE8">
        <w:t>, settling at </w:t>
      </w:r>
      <w:r w:rsidRPr="009A2DE8">
        <w:rPr>
          <w:b/>
          <w:bCs/>
        </w:rPr>
        <w:t>113 days</w:t>
      </w:r>
      <w:r w:rsidRPr="009A2DE8">
        <w:t>. This improvement was largely due to a reduction in </w:t>
      </w:r>
      <w:r w:rsidRPr="009A2DE8">
        <w:rPr>
          <w:b/>
          <w:bCs/>
        </w:rPr>
        <w:t>Days Sales Outstanding (DSO)</w:t>
      </w:r>
      <w:r w:rsidRPr="009A2DE8">
        <w:t>, which dropped to</w:t>
      </w:r>
      <w:r w:rsidRPr="009A2DE8">
        <w:rPr>
          <w:b/>
          <w:bCs/>
        </w:rPr>
        <w:t xml:space="preserve"> 41 days in </w:t>
      </w:r>
      <w:proofErr w:type="gramStart"/>
      <w:r w:rsidRPr="009A2DE8">
        <w:rPr>
          <w:b/>
          <w:bCs/>
        </w:rPr>
        <w:t>2024—16</w:t>
      </w:r>
      <w:proofErr w:type="gramEnd"/>
      <w:r w:rsidRPr="009A2DE8">
        <w:rPr>
          <w:b/>
          <w:bCs/>
        </w:rPr>
        <w:t xml:space="preserve"> days</w:t>
      </w:r>
      <w:r w:rsidRPr="009A2DE8">
        <w:t> less than 2023 levels. </w:t>
      </w:r>
    </w:p>
    <w:p w14:paraId="68116EE5" w14:textId="77777777" w:rsidR="009A2DE8" w:rsidRPr="009A2DE8" w:rsidRDefault="009A2DE8" w:rsidP="009A2DE8">
      <w:r w:rsidRPr="009A2DE8">
        <w:t>NVIDIA’s 2024 10-K report stated “</w:t>
      </w:r>
      <w:r w:rsidRPr="009A2DE8">
        <w:rPr>
          <w:i/>
          <w:iCs/>
        </w:rPr>
        <w:t xml:space="preserve">most of our (NVIDIA’s) sales are made on a purchase order </w:t>
      </w:r>
      <w:proofErr w:type="gramStart"/>
      <w:r w:rsidRPr="009A2DE8">
        <w:rPr>
          <w:i/>
          <w:iCs/>
        </w:rPr>
        <w:t>basis</w:t>
      </w:r>
      <w:r w:rsidRPr="009A2DE8">
        <w:t>”</w:t>
      </w:r>
      <w:r w:rsidRPr="009A2DE8">
        <w:rPr>
          <w:vertAlign w:val="superscript"/>
        </w:rPr>
        <w:t>[</w:t>
      </w:r>
      <w:proofErr w:type="gramEnd"/>
      <w:r w:rsidRPr="009A2DE8">
        <w:rPr>
          <w:vertAlign w:val="superscript"/>
        </w:rPr>
        <w:t>5]</w:t>
      </w:r>
      <w:r w:rsidRPr="009A2DE8">
        <w:t>. Though purchase order (PO) is not based on credit sales, it can be used to facilitate credit sales.</w:t>
      </w:r>
      <w:r w:rsidRPr="009A2DE8">
        <w:rPr>
          <w:vertAlign w:val="superscript"/>
        </w:rPr>
        <w:t>[4]</w:t>
      </w:r>
    </w:p>
    <w:p w14:paraId="7FD835B5" w14:textId="77777777" w:rsidR="009A2DE8" w:rsidRPr="009A2DE8" w:rsidRDefault="009A2DE8" w:rsidP="009A2DE8">
      <w:r w:rsidRPr="009A2DE8">
        <w:t>The surge in </w:t>
      </w:r>
      <w:r w:rsidRPr="009A2DE8">
        <w:rPr>
          <w:b/>
          <w:bCs/>
        </w:rPr>
        <w:t>Total Credit Sales (</w:t>
      </w:r>
      <w:proofErr w:type="gramStart"/>
      <w:r w:rsidRPr="009A2DE8">
        <w:rPr>
          <w:b/>
          <w:bCs/>
        </w:rPr>
        <w:t>TCS)</w:t>
      </w:r>
      <w:r w:rsidRPr="009A2DE8">
        <w:t>—</w:t>
      </w:r>
      <w:proofErr w:type="gramEnd"/>
      <w:r w:rsidRPr="009A2DE8">
        <w:t>up </w:t>
      </w:r>
      <w:r w:rsidRPr="009A2DE8">
        <w:rPr>
          <w:b/>
          <w:bCs/>
        </w:rPr>
        <w:t>263%</w:t>
      </w:r>
      <w:r w:rsidRPr="009A2DE8">
        <w:t> from </w:t>
      </w:r>
      <w:r w:rsidRPr="009A2DE8">
        <w:rPr>
          <w:b/>
          <w:bCs/>
        </w:rPr>
        <w:t>USD 24.5 billion</w:t>
      </w:r>
      <w:r w:rsidRPr="009A2DE8">
        <w:t> in 2023 to </w:t>
      </w:r>
      <w:r w:rsidRPr="009A2DE8">
        <w:rPr>
          <w:b/>
          <w:bCs/>
        </w:rPr>
        <w:t>USD 89 billion</w:t>
      </w:r>
      <w:r w:rsidRPr="009A2DE8">
        <w:t> in 2024—played a pivotal role in decreasing DSO. While accounts receivable also grew, the impact of the increased TCS on DSO was more visible.</w:t>
      </w:r>
    </w:p>
    <w:p w14:paraId="604B6442" w14:textId="77777777" w:rsidR="009A2DE8" w:rsidRPr="009A2DE8" w:rsidRDefault="009A2DE8" w:rsidP="009A2DE8">
      <w:pPr>
        <w:rPr>
          <w:b/>
          <w:bCs/>
        </w:rPr>
      </w:pPr>
      <w:r w:rsidRPr="009A2DE8">
        <w:rPr>
          <w:b/>
          <w:bCs/>
        </w:rPr>
        <w:lastRenderedPageBreak/>
        <w:t>104% increase in Working Capital</w:t>
      </w:r>
    </w:p>
    <w:p w14:paraId="47521723" w14:textId="77777777" w:rsidR="009A2DE8" w:rsidRPr="009A2DE8" w:rsidRDefault="009A2DE8" w:rsidP="009A2DE8">
      <w:pPr>
        <w:rPr>
          <w:b/>
          <w:bCs/>
        </w:rPr>
      </w:pPr>
      <w:r w:rsidRPr="009A2DE8">
        <w:rPr>
          <w:b/>
          <w:bCs/>
        </w:rPr>
        <w:t>Balancing act: Managing current assets &amp; liabilities</w:t>
      </w:r>
    </w:p>
    <w:p w14:paraId="334E676B" w14:textId="7F99658C" w:rsidR="009A2DE8" w:rsidRPr="009A2DE8" w:rsidRDefault="009A2DE8" w:rsidP="009A2DE8">
      <w:r w:rsidRPr="009A2DE8">
        <w:drawing>
          <wp:inline distT="0" distB="0" distL="0" distR="0" wp14:anchorId="54E13F6F" wp14:editId="4AFDA46A">
            <wp:extent cx="5943600" cy="4987925"/>
            <wp:effectExtent l="0" t="0" r="0" b="3175"/>
            <wp:docPr id="1085440939" name="Picture 2" descr="104% increase in Working Ca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4% increase in Working Capi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87925"/>
                    </a:xfrm>
                    <a:prstGeom prst="rect">
                      <a:avLst/>
                    </a:prstGeom>
                    <a:noFill/>
                    <a:ln>
                      <a:noFill/>
                    </a:ln>
                  </pic:spPr>
                </pic:pic>
              </a:graphicData>
            </a:graphic>
          </wp:inline>
        </w:drawing>
      </w:r>
    </w:p>
    <w:p w14:paraId="61E23535" w14:textId="05E867CF" w:rsidR="009A2DE8" w:rsidRPr="009A2DE8" w:rsidRDefault="001B67A5" w:rsidP="009A2DE8">
      <w:r w:rsidRPr="009A2DE8">
        <w:t>Working in</w:t>
      </w:r>
      <w:r w:rsidR="009A2DE8" w:rsidRPr="009A2DE8">
        <w:t xml:space="preserve"> capital management is the art of balancing current assets and liabilities to maintain short-term liquidity. NVIDIA excelled in this area, with its working capital increasing at a CAGR of </w:t>
      </w:r>
      <w:r w:rsidR="009A2DE8" w:rsidRPr="009A2DE8">
        <w:rPr>
          <w:b/>
          <w:bCs/>
        </w:rPr>
        <w:t>30%</w:t>
      </w:r>
      <w:r w:rsidR="009A2DE8" w:rsidRPr="009A2DE8">
        <w:t> from 2020 to 2024. In 2024 alone, working capital surged by </w:t>
      </w:r>
      <w:r w:rsidR="009A2DE8" w:rsidRPr="009A2DE8">
        <w:rPr>
          <w:b/>
          <w:bCs/>
        </w:rPr>
        <w:t>104%</w:t>
      </w:r>
      <w:r w:rsidR="009A2DE8" w:rsidRPr="009A2DE8">
        <w:t>, driven by a </w:t>
      </w:r>
      <w:r w:rsidR="009A2DE8" w:rsidRPr="009A2DE8">
        <w:rPr>
          <w:b/>
          <w:bCs/>
        </w:rPr>
        <w:t>92%</w:t>
      </w:r>
      <w:r w:rsidR="009A2DE8" w:rsidRPr="009A2DE8">
        <w:t> increase in current assets compared to a </w:t>
      </w:r>
      <w:r w:rsidR="009A2DE8" w:rsidRPr="009A2DE8">
        <w:rPr>
          <w:b/>
          <w:bCs/>
        </w:rPr>
        <w:t>62%</w:t>
      </w:r>
      <w:r w:rsidR="009A2DE8" w:rsidRPr="009A2DE8">
        <w:t> rise in current liabilities.</w:t>
      </w:r>
    </w:p>
    <w:p w14:paraId="4E5D9B6B" w14:textId="77777777" w:rsidR="009A2DE8" w:rsidRDefault="009A2DE8"/>
    <w:sectPr w:rsidR="009A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7EBE"/>
    <w:multiLevelType w:val="multilevel"/>
    <w:tmpl w:val="358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65BF"/>
    <w:multiLevelType w:val="multilevel"/>
    <w:tmpl w:val="2A042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61ABC"/>
    <w:multiLevelType w:val="multilevel"/>
    <w:tmpl w:val="9130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5178"/>
    <w:multiLevelType w:val="multilevel"/>
    <w:tmpl w:val="7D46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D24688"/>
    <w:multiLevelType w:val="multilevel"/>
    <w:tmpl w:val="448C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B0596"/>
    <w:multiLevelType w:val="multilevel"/>
    <w:tmpl w:val="07409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E4E54"/>
    <w:multiLevelType w:val="multilevel"/>
    <w:tmpl w:val="6B7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66203"/>
    <w:multiLevelType w:val="multilevel"/>
    <w:tmpl w:val="D3F8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512D2"/>
    <w:multiLevelType w:val="multilevel"/>
    <w:tmpl w:val="8E16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86765"/>
    <w:multiLevelType w:val="multilevel"/>
    <w:tmpl w:val="C96A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B01D4"/>
    <w:multiLevelType w:val="multilevel"/>
    <w:tmpl w:val="B30C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B3247"/>
    <w:multiLevelType w:val="multilevel"/>
    <w:tmpl w:val="0D5A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1A1BCB"/>
    <w:multiLevelType w:val="multilevel"/>
    <w:tmpl w:val="F6104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6473A"/>
    <w:multiLevelType w:val="multilevel"/>
    <w:tmpl w:val="77B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773F3"/>
    <w:multiLevelType w:val="multilevel"/>
    <w:tmpl w:val="FD88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8D7902"/>
    <w:multiLevelType w:val="multilevel"/>
    <w:tmpl w:val="35C8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0252CF"/>
    <w:multiLevelType w:val="multilevel"/>
    <w:tmpl w:val="46F46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DC33D6"/>
    <w:multiLevelType w:val="multilevel"/>
    <w:tmpl w:val="9D7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FA6861"/>
    <w:multiLevelType w:val="multilevel"/>
    <w:tmpl w:val="53F8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44102"/>
    <w:multiLevelType w:val="multilevel"/>
    <w:tmpl w:val="62A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5F1E25"/>
    <w:multiLevelType w:val="multilevel"/>
    <w:tmpl w:val="3E60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1D116A"/>
    <w:multiLevelType w:val="multilevel"/>
    <w:tmpl w:val="6B865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72E86"/>
    <w:multiLevelType w:val="multilevel"/>
    <w:tmpl w:val="FB28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162B3"/>
    <w:multiLevelType w:val="multilevel"/>
    <w:tmpl w:val="90E2C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A43A0F"/>
    <w:multiLevelType w:val="multilevel"/>
    <w:tmpl w:val="3190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B10778"/>
    <w:multiLevelType w:val="multilevel"/>
    <w:tmpl w:val="7E6A0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187F2B"/>
    <w:multiLevelType w:val="multilevel"/>
    <w:tmpl w:val="F66E7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C43202"/>
    <w:multiLevelType w:val="multilevel"/>
    <w:tmpl w:val="83B08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595508">
    <w:abstractNumId w:val="0"/>
  </w:num>
  <w:num w:numId="2" w16cid:durableId="254098314">
    <w:abstractNumId w:val="5"/>
  </w:num>
  <w:num w:numId="3" w16cid:durableId="857307010">
    <w:abstractNumId w:val="5"/>
    <w:lvlOverride w:ilvl="1">
      <w:lvl w:ilvl="1">
        <w:numFmt w:val="bullet"/>
        <w:lvlText w:val=""/>
        <w:lvlJc w:val="left"/>
        <w:pPr>
          <w:tabs>
            <w:tab w:val="num" w:pos="1440"/>
          </w:tabs>
          <w:ind w:left="1440" w:hanging="360"/>
        </w:pPr>
        <w:rPr>
          <w:rFonts w:ascii="Symbol" w:hAnsi="Symbol" w:hint="default"/>
          <w:sz w:val="20"/>
        </w:rPr>
      </w:lvl>
    </w:lvlOverride>
  </w:num>
  <w:num w:numId="4" w16cid:durableId="548147123">
    <w:abstractNumId w:val="5"/>
    <w:lvlOverride w:ilvl="1">
      <w:lvl w:ilvl="1">
        <w:numFmt w:val="bullet"/>
        <w:lvlText w:val=""/>
        <w:lvlJc w:val="left"/>
        <w:pPr>
          <w:tabs>
            <w:tab w:val="num" w:pos="1440"/>
          </w:tabs>
          <w:ind w:left="1440" w:hanging="360"/>
        </w:pPr>
        <w:rPr>
          <w:rFonts w:ascii="Symbol" w:hAnsi="Symbol" w:hint="default"/>
          <w:sz w:val="20"/>
        </w:rPr>
      </w:lvl>
    </w:lvlOverride>
  </w:num>
  <w:num w:numId="5" w16cid:durableId="1556771946">
    <w:abstractNumId w:val="5"/>
    <w:lvlOverride w:ilvl="1">
      <w:lvl w:ilvl="1">
        <w:numFmt w:val="bullet"/>
        <w:lvlText w:val=""/>
        <w:lvlJc w:val="left"/>
        <w:pPr>
          <w:tabs>
            <w:tab w:val="num" w:pos="1440"/>
          </w:tabs>
          <w:ind w:left="1440" w:hanging="360"/>
        </w:pPr>
        <w:rPr>
          <w:rFonts w:ascii="Symbol" w:hAnsi="Symbol" w:hint="default"/>
          <w:sz w:val="20"/>
        </w:rPr>
      </w:lvl>
    </w:lvlOverride>
  </w:num>
  <w:num w:numId="6" w16cid:durableId="2096390051">
    <w:abstractNumId w:val="5"/>
    <w:lvlOverride w:ilvl="1">
      <w:lvl w:ilvl="1">
        <w:numFmt w:val="bullet"/>
        <w:lvlText w:val=""/>
        <w:lvlJc w:val="left"/>
        <w:pPr>
          <w:tabs>
            <w:tab w:val="num" w:pos="1440"/>
          </w:tabs>
          <w:ind w:left="1440" w:hanging="360"/>
        </w:pPr>
        <w:rPr>
          <w:rFonts w:ascii="Symbol" w:hAnsi="Symbol" w:hint="default"/>
          <w:sz w:val="20"/>
        </w:rPr>
      </w:lvl>
    </w:lvlOverride>
  </w:num>
  <w:num w:numId="7" w16cid:durableId="78527263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16cid:durableId="1037198067">
    <w:abstractNumId w:val="5"/>
    <w:lvlOverride w:ilvl="1">
      <w:lvl w:ilvl="1">
        <w:numFmt w:val="bullet"/>
        <w:lvlText w:val=""/>
        <w:lvlJc w:val="left"/>
        <w:pPr>
          <w:tabs>
            <w:tab w:val="num" w:pos="1440"/>
          </w:tabs>
          <w:ind w:left="1440" w:hanging="360"/>
        </w:pPr>
        <w:rPr>
          <w:rFonts w:ascii="Symbol" w:hAnsi="Symbol" w:hint="default"/>
          <w:sz w:val="20"/>
        </w:rPr>
      </w:lvl>
    </w:lvlOverride>
  </w:num>
  <w:num w:numId="9" w16cid:durableId="608661635">
    <w:abstractNumId w:val="5"/>
    <w:lvlOverride w:ilvl="1">
      <w:lvl w:ilvl="1">
        <w:numFmt w:val="bullet"/>
        <w:lvlText w:val=""/>
        <w:lvlJc w:val="left"/>
        <w:pPr>
          <w:tabs>
            <w:tab w:val="num" w:pos="1440"/>
          </w:tabs>
          <w:ind w:left="1440" w:hanging="360"/>
        </w:pPr>
        <w:rPr>
          <w:rFonts w:ascii="Symbol" w:hAnsi="Symbol" w:hint="default"/>
          <w:sz w:val="20"/>
        </w:rPr>
      </w:lvl>
    </w:lvlOverride>
  </w:num>
  <w:num w:numId="10" w16cid:durableId="564292148">
    <w:abstractNumId w:val="5"/>
    <w:lvlOverride w:ilvl="1">
      <w:lvl w:ilvl="1">
        <w:numFmt w:val="bullet"/>
        <w:lvlText w:val=""/>
        <w:lvlJc w:val="left"/>
        <w:pPr>
          <w:tabs>
            <w:tab w:val="num" w:pos="1440"/>
          </w:tabs>
          <w:ind w:left="1440" w:hanging="360"/>
        </w:pPr>
        <w:rPr>
          <w:rFonts w:ascii="Symbol" w:hAnsi="Symbol" w:hint="default"/>
          <w:sz w:val="20"/>
        </w:rPr>
      </w:lvl>
    </w:lvlOverride>
  </w:num>
  <w:num w:numId="11" w16cid:durableId="152991201">
    <w:abstractNumId w:val="5"/>
    <w:lvlOverride w:ilvl="1">
      <w:lvl w:ilvl="1">
        <w:numFmt w:val="bullet"/>
        <w:lvlText w:val=""/>
        <w:lvlJc w:val="left"/>
        <w:pPr>
          <w:tabs>
            <w:tab w:val="num" w:pos="1440"/>
          </w:tabs>
          <w:ind w:left="1440" w:hanging="360"/>
        </w:pPr>
        <w:rPr>
          <w:rFonts w:ascii="Symbol" w:hAnsi="Symbol" w:hint="default"/>
          <w:sz w:val="20"/>
        </w:rPr>
      </w:lvl>
    </w:lvlOverride>
  </w:num>
  <w:num w:numId="12" w16cid:durableId="1896622946">
    <w:abstractNumId w:val="5"/>
    <w:lvlOverride w:ilvl="1">
      <w:lvl w:ilvl="1">
        <w:numFmt w:val="bullet"/>
        <w:lvlText w:val=""/>
        <w:lvlJc w:val="left"/>
        <w:pPr>
          <w:tabs>
            <w:tab w:val="num" w:pos="1440"/>
          </w:tabs>
          <w:ind w:left="1440" w:hanging="360"/>
        </w:pPr>
        <w:rPr>
          <w:rFonts w:ascii="Symbol" w:hAnsi="Symbol" w:hint="default"/>
          <w:sz w:val="20"/>
        </w:rPr>
      </w:lvl>
    </w:lvlOverride>
  </w:num>
  <w:num w:numId="13" w16cid:durableId="279773417">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969823068">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47724680">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627473051">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90795246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180133791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1017660032">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367220892">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679621586">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644625866">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224875203">
    <w:abstractNumId w:val="5"/>
    <w:lvlOverride w:ilvl="1">
      <w:lvl w:ilvl="1">
        <w:numFmt w:val="bullet"/>
        <w:lvlText w:val=""/>
        <w:lvlJc w:val="left"/>
        <w:pPr>
          <w:tabs>
            <w:tab w:val="num" w:pos="1440"/>
          </w:tabs>
          <w:ind w:left="1440" w:hanging="360"/>
        </w:pPr>
        <w:rPr>
          <w:rFonts w:ascii="Symbol" w:hAnsi="Symbol" w:hint="default"/>
          <w:sz w:val="20"/>
        </w:rPr>
      </w:lvl>
    </w:lvlOverride>
  </w:num>
  <w:num w:numId="24" w16cid:durableId="575363775">
    <w:abstractNumId w:val="5"/>
    <w:lvlOverride w:ilvl="1">
      <w:lvl w:ilvl="1">
        <w:numFmt w:val="bullet"/>
        <w:lvlText w:val=""/>
        <w:lvlJc w:val="left"/>
        <w:pPr>
          <w:tabs>
            <w:tab w:val="num" w:pos="1440"/>
          </w:tabs>
          <w:ind w:left="1440" w:hanging="360"/>
        </w:pPr>
        <w:rPr>
          <w:rFonts w:ascii="Symbol" w:hAnsi="Symbol" w:hint="default"/>
          <w:sz w:val="20"/>
        </w:rPr>
      </w:lvl>
    </w:lvlOverride>
  </w:num>
  <w:num w:numId="25" w16cid:durableId="515387147">
    <w:abstractNumId w:val="5"/>
    <w:lvlOverride w:ilvl="1">
      <w:lvl w:ilvl="1">
        <w:numFmt w:val="bullet"/>
        <w:lvlText w:val=""/>
        <w:lvlJc w:val="left"/>
        <w:pPr>
          <w:tabs>
            <w:tab w:val="num" w:pos="1440"/>
          </w:tabs>
          <w:ind w:left="1440" w:hanging="360"/>
        </w:pPr>
        <w:rPr>
          <w:rFonts w:ascii="Symbol" w:hAnsi="Symbol" w:hint="default"/>
          <w:sz w:val="20"/>
        </w:rPr>
      </w:lvl>
    </w:lvlOverride>
  </w:num>
  <w:num w:numId="26" w16cid:durableId="2019191987">
    <w:abstractNumId w:val="5"/>
    <w:lvlOverride w:ilvl="1">
      <w:lvl w:ilvl="1">
        <w:numFmt w:val="bullet"/>
        <w:lvlText w:val=""/>
        <w:lvlJc w:val="left"/>
        <w:pPr>
          <w:tabs>
            <w:tab w:val="num" w:pos="1440"/>
          </w:tabs>
          <w:ind w:left="1440" w:hanging="360"/>
        </w:pPr>
        <w:rPr>
          <w:rFonts w:ascii="Symbol" w:hAnsi="Symbol" w:hint="default"/>
          <w:sz w:val="20"/>
        </w:rPr>
      </w:lvl>
    </w:lvlOverride>
  </w:num>
  <w:num w:numId="27" w16cid:durableId="1890410171">
    <w:abstractNumId w:val="23"/>
  </w:num>
  <w:num w:numId="28" w16cid:durableId="1866674846">
    <w:abstractNumId w:val="23"/>
    <w:lvlOverride w:ilvl="1">
      <w:lvl w:ilvl="1">
        <w:numFmt w:val="bullet"/>
        <w:lvlText w:val=""/>
        <w:lvlJc w:val="left"/>
        <w:pPr>
          <w:tabs>
            <w:tab w:val="num" w:pos="1440"/>
          </w:tabs>
          <w:ind w:left="1440" w:hanging="360"/>
        </w:pPr>
        <w:rPr>
          <w:rFonts w:ascii="Symbol" w:hAnsi="Symbol" w:hint="default"/>
          <w:sz w:val="20"/>
        </w:rPr>
      </w:lvl>
    </w:lvlOverride>
  </w:num>
  <w:num w:numId="29" w16cid:durableId="67969549">
    <w:abstractNumId w:val="23"/>
    <w:lvlOverride w:ilvl="1">
      <w:lvl w:ilvl="1">
        <w:numFmt w:val="bullet"/>
        <w:lvlText w:val=""/>
        <w:lvlJc w:val="left"/>
        <w:pPr>
          <w:tabs>
            <w:tab w:val="num" w:pos="1440"/>
          </w:tabs>
          <w:ind w:left="1440" w:hanging="360"/>
        </w:pPr>
        <w:rPr>
          <w:rFonts w:ascii="Symbol" w:hAnsi="Symbol" w:hint="default"/>
          <w:sz w:val="20"/>
        </w:rPr>
      </w:lvl>
    </w:lvlOverride>
  </w:num>
  <w:num w:numId="30" w16cid:durableId="1255091939">
    <w:abstractNumId w:val="23"/>
    <w:lvlOverride w:ilvl="1">
      <w:lvl w:ilvl="1">
        <w:numFmt w:val="bullet"/>
        <w:lvlText w:val=""/>
        <w:lvlJc w:val="left"/>
        <w:pPr>
          <w:tabs>
            <w:tab w:val="num" w:pos="1440"/>
          </w:tabs>
          <w:ind w:left="1440" w:hanging="360"/>
        </w:pPr>
        <w:rPr>
          <w:rFonts w:ascii="Symbol" w:hAnsi="Symbol" w:hint="default"/>
          <w:sz w:val="20"/>
        </w:rPr>
      </w:lvl>
    </w:lvlOverride>
  </w:num>
  <w:num w:numId="31" w16cid:durableId="1910189624">
    <w:abstractNumId w:val="23"/>
    <w:lvlOverride w:ilvl="1">
      <w:lvl w:ilvl="1">
        <w:numFmt w:val="bullet"/>
        <w:lvlText w:val=""/>
        <w:lvlJc w:val="left"/>
        <w:pPr>
          <w:tabs>
            <w:tab w:val="num" w:pos="1440"/>
          </w:tabs>
          <w:ind w:left="1440" w:hanging="360"/>
        </w:pPr>
        <w:rPr>
          <w:rFonts w:ascii="Symbol" w:hAnsi="Symbol" w:hint="default"/>
          <w:sz w:val="20"/>
        </w:rPr>
      </w:lvl>
    </w:lvlOverride>
  </w:num>
  <w:num w:numId="32" w16cid:durableId="491602352">
    <w:abstractNumId w:val="23"/>
    <w:lvlOverride w:ilvl="1">
      <w:lvl w:ilvl="1">
        <w:numFmt w:val="bullet"/>
        <w:lvlText w:val=""/>
        <w:lvlJc w:val="left"/>
        <w:pPr>
          <w:tabs>
            <w:tab w:val="num" w:pos="1440"/>
          </w:tabs>
          <w:ind w:left="1440" w:hanging="360"/>
        </w:pPr>
        <w:rPr>
          <w:rFonts w:ascii="Symbol" w:hAnsi="Symbol" w:hint="default"/>
          <w:sz w:val="20"/>
        </w:rPr>
      </w:lvl>
    </w:lvlOverride>
  </w:num>
  <w:num w:numId="33" w16cid:durableId="731394504">
    <w:abstractNumId w:val="23"/>
    <w:lvlOverride w:ilvl="1">
      <w:lvl w:ilvl="1">
        <w:numFmt w:val="bullet"/>
        <w:lvlText w:val=""/>
        <w:lvlJc w:val="left"/>
        <w:pPr>
          <w:tabs>
            <w:tab w:val="num" w:pos="1440"/>
          </w:tabs>
          <w:ind w:left="1440" w:hanging="360"/>
        </w:pPr>
        <w:rPr>
          <w:rFonts w:ascii="Symbol" w:hAnsi="Symbol" w:hint="default"/>
          <w:sz w:val="20"/>
        </w:rPr>
      </w:lvl>
    </w:lvlOverride>
  </w:num>
  <w:num w:numId="34" w16cid:durableId="1689133341">
    <w:abstractNumId w:val="23"/>
    <w:lvlOverride w:ilvl="1">
      <w:lvl w:ilvl="1">
        <w:numFmt w:val="bullet"/>
        <w:lvlText w:val=""/>
        <w:lvlJc w:val="left"/>
        <w:pPr>
          <w:tabs>
            <w:tab w:val="num" w:pos="1440"/>
          </w:tabs>
          <w:ind w:left="1440" w:hanging="360"/>
        </w:pPr>
        <w:rPr>
          <w:rFonts w:ascii="Symbol" w:hAnsi="Symbol" w:hint="default"/>
          <w:sz w:val="20"/>
        </w:rPr>
      </w:lvl>
    </w:lvlOverride>
  </w:num>
  <w:num w:numId="35" w16cid:durableId="1565604475">
    <w:abstractNumId w:val="23"/>
    <w:lvlOverride w:ilvl="1">
      <w:lvl w:ilvl="1">
        <w:numFmt w:val="bullet"/>
        <w:lvlText w:val=""/>
        <w:lvlJc w:val="left"/>
        <w:pPr>
          <w:tabs>
            <w:tab w:val="num" w:pos="1440"/>
          </w:tabs>
          <w:ind w:left="1440" w:hanging="360"/>
        </w:pPr>
        <w:rPr>
          <w:rFonts w:ascii="Symbol" w:hAnsi="Symbol" w:hint="default"/>
          <w:sz w:val="20"/>
        </w:rPr>
      </w:lvl>
    </w:lvlOverride>
  </w:num>
  <w:num w:numId="36" w16cid:durableId="1439375589">
    <w:abstractNumId w:val="27"/>
  </w:num>
  <w:num w:numId="37" w16cid:durableId="1090781987">
    <w:abstractNumId w:val="27"/>
    <w:lvlOverride w:ilvl="1">
      <w:lvl w:ilvl="1">
        <w:numFmt w:val="bullet"/>
        <w:lvlText w:val=""/>
        <w:lvlJc w:val="left"/>
        <w:pPr>
          <w:tabs>
            <w:tab w:val="num" w:pos="1440"/>
          </w:tabs>
          <w:ind w:left="1440" w:hanging="360"/>
        </w:pPr>
        <w:rPr>
          <w:rFonts w:ascii="Symbol" w:hAnsi="Symbol" w:hint="default"/>
          <w:sz w:val="20"/>
        </w:rPr>
      </w:lvl>
    </w:lvlOverride>
  </w:num>
  <w:num w:numId="38" w16cid:durableId="677076719">
    <w:abstractNumId w:val="27"/>
    <w:lvlOverride w:ilvl="1">
      <w:lvl w:ilvl="1">
        <w:numFmt w:val="bullet"/>
        <w:lvlText w:val=""/>
        <w:lvlJc w:val="left"/>
        <w:pPr>
          <w:tabs>
            <w:tab w:val="num" w:pos="1440"/>
          </w:tabs>
          <w:ind w:left="1440" w:hanging="360"/>
        </w:pPr>
        <w:rPr>
          <w:rFonts w:ascii="Symbol" w:hAnsi="Symbol" w:hint="default"/>
          <w:sz w:val="20"/>
        </w:rPr>
      </w:lvl>
    </w:lvlOverride>
  </w:num>
  <w:num w:numId="39" w16cid:durableId="564032354">
    <w:abstractNumId w:val="27"/>
    <w:lvlOverride w:ilvl="1">
      <w:lvl w:ilvl="1">
        <w:numFmt w:val="bullet"/>
        <w:lvlText w:val=""/>
        <w:lvlJc w:val="left"/>
        <w:pPr>
          <w:tabs>
            <w:tab w:val="num" w:pos="1440"/>
          </w:tabs>
          <w:ind w:left="1440" w:hanging="360"/>
        </w:pPr>
        <w:rPr>
          <w:rFonts w:ascii="Symbol" w:hAnsi="Symbol" w:hint="default"/>
          <w:sz w:val="20"/>
        </w:rPr>
      </w:lvl>
    </w:lvlOverride>
  </w:num>
  <w:num w:numId="40" w16cid:durableId="916091544">
    <w:abstractNumId w:val="27"/>
    <w:lvlOverride w:ilvl="1">
      <w:lvl w:ilvl="1">
        <w:numFmt w:val="bullet"/>
        <w:lvlText w:val=""/>
        <w:lvlJc w:val="left"/>
        <w:pPr>
          <w:tabs>
            <w:tab w:val="num" w:pos="1440"/>
          </w:tabs>
          <w:ind w:left="1440" w:hanging="360"/>
        </w:pPr>
        <w:rPr>
          <w:rFonts w:ascii="Symbol" w:hAnsi="Symbol" w:hint="default"/>
          <w:sz w:val="20"/>
        </w:rPr>
      </w:lvl>
    </w:lvlOverride>
  </w:num>
  <w:num w:numId="41" w16cid:durableId="267349617">
    <w:abstractNumId w:val="20"/>
  </w:num>
  <w:num w:numId="42" w16cid:durableId="1093361606">
    <w:abstractNumId w:val="7"/>
  </w:num>
  <w:num w:numId="43" w16cid:durableId="223688954">
    <w:abstractNumId w:val="2"/>
  </w:num>
  <w:num w:numId="44" w16cid:durableId="903293041">
    <w:abstractNumId w:val="4"/>
  </w:num>
  <w:num w:numId="45" w16cid:durableId="948242906">
    <w:abstractNumId w:val="8"/>
  </w:num>
  <w:num w:numId="46" w16cid:durableId="97213420">
    <w:abstractNumId w:val="6"/>
  </w:num>
  <w:num w:numId="47" w16cid:durableId="387732520">
    <w:abstractNumId w:val="9"/>
  </w:num>
  <w:num w:numId="48" w16cid:durableId="975111642">
    <w:abstractNumId w:val="17"/>
  </w:num>
  <w:num w:numId="49" w16cid:durableId="1003583086">
    <w:abstractNumId w:val="13"/>
  </w:num>
  <w:num w:numId="50" w16cid:durableId="1772701267">
    <w:abstractNumId w:val="3"/>
  </w:num>
  <w:num w:numId="51" w16cid:durableId="1394045743">
    <w:abstractNumId w:val="3"/>
    <w:lvlOverride w:ilvl="1">
      <w:lvl w:ilvl="1">
        <w:numFmt w:val="bullet"/>
        <w:lvlText w:val=""/>
        <w:lvlJc w:val="left"/>
        <w:pPr>
          <w:tabs>
            <w:tab w:val="num" w:pos="1440"/>
          </w:tabs>
          <w:ind w:left="1440" w:hanging="360"/>
        </w:pPr>
        <w:rPr>
          <w:rFonts w:ascii="Symbol" w:hAnsi="Symbol" w:hint="default"/>
          <w:sz w:val="20"/>
        </w:rPr>
      </w:lvl>
    </w:lvlOverride>
  </w:num>
  <w:num w:numId="52" w16cid:durableId="2118330594">
    <w:abstractNumId w:val="3"/>
    <w:lvlOverride w:ilvl="1">
      <w:lvl w:ilvl="1">
        <w:numFmt w:val="bullet"/>
        <w:lvlText w:val=""/>
        <w:lvlJc w:val="left"/>
        <w:pPr>
          <w:tabs>
            <w:tab w:val="num" w:pos="1440"/>
          </w:tabs>
          <w:ind w:left="1440" w:hanging="360"/>
        </w:pPr>
        <w:rPr>
          <w:rFonts w:ascii="Symbol" w:hAnsi="Symbol" w:hint="default"/>
          <w:sz w:val="20"/>
        </w:rPr>
      </w:lvl>
    </w:lvlOverride>
  </w:num>
  <w:num w:numId="53" w16cid:durableId="1500344951">
    <w:abstractNumId w:val="3"/>
    <w:lvlOverride w:ilvl="1">
      <w:lvl w:ilvl="1">
        <w:numFmt w:val="bullet"/>
        <w:lvlText w:val=""/>
        <w:lvlJc w:val="left"/>
        <w:pPr>
          <w:tabs>
            <w:tab w:val="num" w:pos="1440"/>
          </w:tabs>
          <w:ind w:left="1440" w:hanging="360"/>
        </w:pPr>
        <w:rPr>
          <w:rFonts w:ascii="Symbol" w:hAnsi="Symbol" w:hint="default"/>
          <w:sz w:val="20"/>
        </w:rPr>
      </w:lvl>
    </w:lvlOverride>
  </w:num>
  <w:num w:numId="54" w16cid:durableId="1201698761">
    <w:abstractNumId w:val="3"/>
    <w:lvlOverride w:ilvl="1">
      <w:lvl w:ilvl="1">
        <w:numFmt w:val="bullet"/>
        <w:lvlText w:val=""/>
        <w:lvlJc w:val="left"/>
        <w:pPr>
          <w:tabs>
            <w:tab w:val="num" w:pos="1440"/>
          </w:tabs>
          <w:ind w:left="1440" w:hanging="360"/>
        </w:pPr>
        <w:rPr>
          <w:rFonts w:ascii="Symbol" w:hAnsi="Symbol" w:hint="default"/>
          <w:sz w:val="20"/>
        </w:rPr>
      </w:lvl>
    </w:lvlOverride>
  </w:num>
  <w:num w:numId="55" w16cid:durableId="839975860">
    <w:abstractNumId w:val="3"/>
    <w:lvlOverride w:ilvl="1">
      <w:lvl w:ilvl="1">
        <w:numFmt w:val="bullet"/>
        <w:lvlText w:val=""/>
        <w:lvlJc w:val="left"/>
        <w:pPr>
          <w:tabs>
            <w:tab w:val="num" w:pos="1440"/>
          </w:tabs>
          <w:ind w:left="1440" w:hanging="360"/>
        </w:pPr>
        <w:rPr>
          <w:rFonts w:ascii="Symbol" w:hAnsi="Symbol" w:hint="default"/>
          <w:sz w:val="20"/>
        </w:rPr>
      </w:lvl>
    </w:lvlOverride>
  </w:num>
  <w:num w:numId="56" w16cid:durableId="831220640">
    <w:abstractNumId w:val="3"/>
    <w:lvlOverride w:ilvl="1">
      <w:lvl w:ilvl="1">
        <w:numFmt w:val="bullet"/>
        <w:lvlText w:val=""/>
        <w:lvlJc w:val="left"/>
        <w:pPr>
          <w:tabs>
            <w:tab w:val="num" w:pos="1440"/>
          </w:tabs>
          <w:ind w:left="1440" w:hanging="360"/>
        </w:pPr>
        <w:rPr>
          <w:rFonts w:ascii="Symbol" w:hAnsi="Symbol" w:hint="default"/>
          <w:sz w:val="20"/>
        </w:rPr>
      </w:lvl>
    </w:lvlOverride>
  </w:num>
  <w:num w:numId="57" w16cid:durableId="1785928646">
    <w:abstractNumId w:val="3"/>
    <w:lvlOverride w:ilvl="1">
      <w:lvl w:ilvl="1">
        <w:numFmt w:val="bullet"/>
        <w:lvlText w:val=""/>
        <w:lvlJc w:val="left"/>
        <w:pPr>
          <w:tabs>
            <w:tab w:val="num" w:pos="1440"/>
          </w:tabs>
          <w:ind w:left="1440" w:hanging="360"/>
        </w:pPr>
        <w:rPr>
          <w:rFonts w:ascii="Symbol" w:hAnsi="Symbol" w:hint="default"/>
          <w:sz w:val="20"/>
        </w:rPr>
      </w:lvl>
    </w:lvlOverride>
  </w:num>
  <w:num w:numId="58" w16cid:durableId="931594630">
    <w:abstractNumId w:val="3"/>
    <w:lvlOverride w:ilvl="1">
      <w:lvl w:ilvl="1">
        <w:numFmt w:val="bullet"/>
        <w:lvlText w:val=""/>
        <w:lvlJc w:val="left"/>
        <w:pPr>
          <w:tabs>
            <w:tab w:val="num" w:pos="1440"/>
          </w:tabs>
          <w:ind w:left="1440" w:hanging="360"/>
        </w:pPr>
        <w:rPr>
          <w:rFonts w:ascii="Symbol" w:hAnsi="Symbol" w:hint="default"/>
          <w:sz w:val="20"/>
        </w:rPr>
      </w:lvl>
    </w:lvlOverride>
  </w:num>
  <w:num w:numId="59" w16cid:durableId="528883220">
    <w:abstractNumId w:val="21"/>
  </w:num>
  <w:num w:numId="60" w16cid:durableId="1890528920">
    <w:abstractNumId w:val="21"/>
    <w:lvlOverride w:ilvl="1">
      <w:lvl w:ilvl="1">
        <w:numFmt w:val="bullet"/>
        <w:lvlText w:val=""/>
        <w:lvlJc w:val="left"/>
        <w:pPr>
          <w:tabs>
            <w:tab w:val="num" w:pos="1440"/>
          </w:tabs>
          <w:ind w:left="1440" w:hanging="360"/>
        </w:pPr>
        <w:rPr>
          <w:rFonts w:ascii="Symbol" w:hAnsi="Symbol" w:hint="default"/>
          <w:sz w:val="20"/>
        </w:rPr>
      </w:lvl>
    </w:lvlOverride>
  </w:num>
  <w:num w:numId="61" w16cid:durableId="1145664724">
    <w:abstractNumId w:val="21"/>
    <w:lvlOverride w:ilvl="1">
      <w:lvl w:ilvl="1">
        <w:numFmt w:val="bullet"/>
        <w:lvlText w:val=""/>
        <w:lvlJc w:val="left"/>
        <w:pPr>
          <w:tabs>
            <w:tab w:val="num" w:pos="1440"/>
          </w:tabs>
          <w:ind w:left="1440" w:hanging="360"/>
        </w:pPr>
        <w:rPr>
          <w:rFonts w:ascii="Symbol" w:hAnsi="Symbol" w:hint="default"/>
          <w:sz w:val="20"/>
        </w:rPr>
      </w:lvl>
    </w:lvlOverride>
  </w:num>
  <w:num w:numId="62" w16cid:durableId="590234988">
    <w:abstractNumId w:val="21"/>
    <w:lvlOverride w:ilvl="1">
      <w:lvl w:ilvl="1">
        <w:numFmt w:val="bullet"/>
        <w:lvlText w:val=""/>
        <w:lvlJc w:val="left"/>
        <w:pPr>
          <w:tabs>
            <w:tab w:val="num" w:pos="1440"/>
          </w:tabs>
          <w:ind w:left="1440" w:hanging="360"/>
        </w:pPr>
        <w:rPr>
          <w:rFonts w:ascii="Symbol" w:hAnsi="Symbol" w:hint="default"/>
          <w:sz w:val="20"/>
        </w:rPr>
      </w:lvl>
    </w:lvlOverride>
  </w:num>
  <w:num w:numId="63" w16cid:durableId="937179913">
    <w:abstractNumId w:val="21"/>
    <w:lvlOverride w:ilvl="1">
      <w:lvl w:ilvl="1">
        <w:numFmt w:val="bullet"/>
        <w:lvlText w:val=""/>
        <w:lvlJc w:val="left"/>
        <w:pPr>
          <w:tabs>
            <w:tab w:val="num" w:pos="1440"/>
          </w:tabs>
          <w:ind w:left="1440" w:hanging="360"/>
        </w:pPr>
        <w:rPr>
          <w:rFonts w:ascii="Symbol" w:hAnsi="Symbol" w:hint="default"/>
          <w:sz w:val="20"/>
        </w:rPr>
      </w:lvl>
    </w:lvlOverride>
  </w:num>
  <w:num w:numId="64" w16cid:durableId="1031960429">
    <w:abstractNumId w:val="1"/>
  </w:num>
  <w:num w:numId="65" w16cid:durableId="1652367575">
    <w:abstractNumId w:val="1"/>
    <w:lvlOverride w:ilvl="1">
      <w:lvl w:ilvl="1">
        <w:numFmt w:val="bullet"/>
        <w:lvlText w:val=""/>
        <w:lvlJc w:val="left"/>
        <w:pPr>
          <w:tabs>
            <w:tab w:val="num" w:pos="1440"/>
          </w:tabs>
          <w:ind w:left="1440" w:hanging="360"/>
        </w:pPr>
        <w:rPr>
          <w:rFonts w:ascii="Symbol" w:hAnsi="Symbol" w:hint="default"/>
          <w:sz w:val="20"/>
        </w:rPr>
      </w:lvl>
    </w:lvlOverride>
  </w:num>
  <w:num w:numId="66" w16cid:durableId="901450712">
    <w:abstractNumId w:val="1"/>
    <w:lvlOverride w:ilvl="1">
      <w:lvl w:ilvl="1">
        <w:numFmt w:val="bullet"/>
        <w:lvlText w:val=""/>
        <w:lvlJc w:val="left"/>
        <w:pPr>
          <w:tabs>
            <w:tab w:val="num" w:pos="1440"/>
          </w:tabs>
          <w:ind w:left="1440" w:hanging="360"/>
        </w:pPr>
        <w:rPr>
          <w:rFonts w:ascii="Symbol" w:hAnsi="Symbol" w:hint="default"/>
          <w:sz w:val="20"/>
        </w:rPr>
      </w:lvl>
    </w:lvlOverride>
  </w:num>
  <w:num w:numId="67" w16cid:durableId="1997800166">
    <w:abstractNumId w:val="1"/>
    <w:lvlOverride w:ilvl="1">
      <w:lvl w:ilvl="1">
        <w:numFmt w:val="bullet"/>
        <w:lvlText w:val=""/>
        <w:lvlJc w:val="left"/>
        <w:pPr>
          <w:tabs>
            <w:tab w:val="num" w:pos="1440"/>
          </w:tabs>
          <w:ind w:left="1440" w:hanging="360"/>
        </w:pPr>
        <w:rPr>
          <w:rFonts w:ascii="Symbol" w:hAnsi="Symbol" w:hint="default"/>
          <w:sz w:val="20"/>
        </w:rPr>
      </w:lvl>
    </w:lvlOverride>
  </w:num>
  <w:num w:numId="68" w16cid:durableId="1360087391">
    <w:abstractNumId w:val="1"/>
    <w:lvlOverride w:ilvl="1">
      <w:lvl w:ilvl="1">
        <w:numFmt w:val="bullet"/>
        <w:lvlText w:val=""/>
        <w:lvlJc w:val="left"/>
        <w:pPr>
          <w:tabs>
            <w:tab w:val="num" w:pos="1440"/>
          </w:tabs>
          <w:ind w:left="1440" w:hanging="360"/>
        </w:pPr>
        <w:rPr>
          <w:rFonts w:ascii="Symbol" w:hAnsi="Symbol" w:hint="default"/>
          <w:sz w:val="20"/>
        </w:rPr>
      </w:lvl>
    </w:lvlOverride>
  </w:num>
  <w:num w:numId="69" w16cid:durableId="283465610">
    <w:abstractNumId w:val="1"/>
    <w:lvlOverride w:ilvl="1">
      <w:lvl w:ilvl="1">
        <w:numFmt w:val="bullet"/>
        <w:lvlText w:val=""/>
        <w:lvlJc w:val="left"/>
        <w:pPr>
          <w:tabs>
            <w:tab w:val="num" w:pos="1440"/>
          </w:tabs>
          <w:ind w:left="1440" w:hanging="360"/>
        </w:pPr>
        <w:rPr>
          <w:rFonts w:ascii="Symbol" w:hAnsi="Symbol" w:hint="default"/>
          <w:sz w:val="20"/>
        </w:rPr>
      </w:lvl>
    </w:lvlOverride>
  </w:num>
  <w:num w:numId="70" w16cid:durableId="1046831382">
    <w:abstractNumId w:val="26"/>
  </w:num>
  <w:num w:numId="71" w16cid:durableId="1922525673">
    <w:abstractNumId w:val="26"/>
    <w:lvlOverride w:ilvl="1">
      <w:lvl w:ilvl="1">
        <w:numFmt w:val="bullet"/>
        <w:lvlText w:val=""/>
        <w:lvlJc w:val="left"/>
        <w:pPr>
          <w:tabs>
            <w:tab w:val="num" w:pos="1440"/>
          </w:tabs>
          <w:ind w:left="1440" w:hanging="360"/>
        </w:pPr>
        <w:rPr>
          <w:rFonts w:ascii="Symbol" w:hAnsi="Symbol" w:hint="default"/>
          <w:sz w:val="20"/>
        </w:rPr>
      </w:lvl>
    </w:lvlOverride>
  </w:num>
  <w:num w:numId="72" w16cid:durableId="850416421">
    <w:abstractNumId w:val="26"/>
    <w:lvlOverride w:ilvl="1">
      <w:lvl w:ilvl="1">
        <w:numFmt w:val="bullet"/>
        <w:lvlText w:val=""/>
        <w:lvlJc w:val="left"/>
        <w:pPr>
          <w:tabs>
            <w:tab w:val="num" w:pos="1440"/>
          </w:tabs>
          <w:ind w:left="1440" w:hanging="360"/>
        </w:pPr>
        <w:rPr>
          <w:rFonts w:ascii="Symbol" w:hAnsi="Symbol" w:hint="default"/>
          <w:sz w:val="20"/>
        </w:rPr>
      </w:lvl>
    </w:lvlOverride>
  </w:num>
  <w:num w:numId="73" w16cid:durableId="1122306892">
    <w:abstractNumId w:val="26"/>
    <w:lvlOverride w:ilvl="1">
      <w:lvl w:ilvl="1">
        <w:numFmt w:val="bullet"/>
        <w:lvlText w:val=""/>
        <w:lvlJc w:val="left"/>
        <w:pPr>
          <w:tabs>
            <w:tab w:val="num" w:pos="1440"/>
          </w:tabs>
          <w:ind w:left="1440" w:hanging="360"/>
        </w:pPr>
        <w:rPr>
          <w:rFonts w:ascii="Symbol" w:hAnsi="Symbol" w:hint="default"/>
          <w:sz w:val="20"/>
        </w:rPr>
      </w:lvl>
    </w:lvlOverride>
  </w:num>
  <w:num w:numId="74" w16cid:durableId="387145468">
    <w:abstractNumId w:val="26"/>
    <w:lvlOverride w:ilvl="1">
      <w:lvl w:ilvl="1">
        <w:numFmt w:val="bullet"/>
        <w:lvlText w:val=""/>
        <w:lvlJc w:val="left"/>
        <w:pPr>
          <w:tabs>
            <w:tab w:val="num" w:pos="1440"/>
          </w:tabs>
          <w:ind w:left="1440" w:hanging="360"/>
        </w:pPr>
        <w:rPr>
          <w:rFonts w:ascii="Symbol" w:hAnsi="Symbol" w:hint="default"/>
          <w:sz w:val="20"/>
        </w:rPr>
      </w:lvl>
    </w:lvlOverride>
  </w:num>
  <w:num w:numId="75" w16cid:durableId="1289362337">
    <w:abstractNumId w:val="15"/>
  </w:num>
  <w:num w:numId="76" w16cid:durableId="2083597722">
    <w:abstractNumId w:val="11"/>
  </w:num>
  <w:num w:numId="77" w16cid:durableId="1294487113">
    <w:abstractNumId w:val="16"/>
  </w:num>
  <w:num w:numId="78" w16cid:durableId="431903089">
    <w:abstractNumId w:val="14"/>
  </w:num>
  <w:num w:numId="79" w16cid:durableId="198864018">
    <w:abstractNumId w:val="18"/>
  </w:num>
  <w:num w:numId="80" w16cid:durableId="1017464767">
    <w:abstractNumId w:val="22"/>
  </w:num>
  <w:num w:numId="81" w16cid:durableId="1967881771">
    <w:abstractNumId w:val="10"/>
  </w:num>
  <w:num w:numId="82" w16cid:durableId="963970023">
    <w:abstractNumId w:val="25"/>
  </w:num>
  <w:num w:numId="83" w16cid:durableId="441874907">
    <w:abstractNumId w:val="25"/>
    <w:lvlOverride w:ilvl="1">
      <w:lvl w:ilvl="1">
        <w:numFmt w:val="bullet"/>
        <w:lvlText w:val=""/>
        <w:lvlJc w:val="left"/>
        <w:pPr>
          <w:tabs>
            <w:tab w:val="num" w:pos="1440"/>
          </w:tabs>
          <w:ind w:left="1440" w:hanging="360"/>
        </w:pPr>
        <w:rPr>
          <w:rFonts w:ascii="Symbol" w:hAnsi="Symbol" w:hint="default"/>
          <w:sz w:val="20"/>
        </w:rPr>
      </w:lvl>
    </w:lvlOverride>
  </w:num>
  <w:num w:numId="84" w16cid:durableId="1121076988">
    <w:abstractNumId w:val="25"/>
    <w:lvlOverride w:ilvl="1">
      <w:lvl w:ilvl="1">
        <w:numFmt w:val="bullet"/>
        <w:lvlText w:val=""/>
        <w:lvlJc w:val="left"/>
        <w:pPr>
          <w:tabs>
            <w:tab w:val="num" w:pos="1440"/>
          </w:tabs>
          <w:ind w:left="1440" w:hanging="360"/>
        </w:pPr>
        <w:rPr>
          <w:rFonts w:ascii="Symbol" w:hAnsi="Symbol" w:hint="default"/>
          <w:sz w:val="20"/>
        </w:rPr>
      </w:lvl>
    </w:lvlOverride>
  </w:num>
  <w:num w:numId="85" w16cid:durableId="1547647129">
    <w:abstractNumId w:val="25"/>
    <w:lvlOverride w:ilvl="1">
      <w:lvl w:ilvl="1">
        <w:numFmt w:val="bullet"/>
        <w:lvlText w:val=""/>
        <w:lvlJc w:val="left"/>
        <w:pPr>
          <w:tabs>
            <w:tab w:val="num" w:pos="1440"/>
          </w:tabs>
          <w:ind w:left="1440" w:hanging="360"/>
        </w:pPr>
        <w:rPr>
          <w:rFonts w:ascii="Symbol" w:hAnsi="Symbol" w:hint="default"/>
          <w:sz w:val="20"/>
        </w:rPr>
      </w:lvl>
    </w:lvlOverride>
  </w:num>
  <w:num w:numId="86" w16cid:durableId="27016566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7" w16cid:durableId="126968773">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8" w16cid:durableId="2065448116">
    <w:abstractNumId w:val="24"/>
  </w:num>
  <w:num w:numId="89" w16cid:durableId="422529080">
    <w:abstractNumId w:val="12"/>
  </w:num>
  <w:num w:numId="90" w16cid:durableId="19884365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71"/>
    <w:rsid w:val="00000E83"/>
    <w:rsid w:val="00146B8C"/>
    <w:rsid w:val="001B67A5"/>
    <w:rsid w:val="00566648"/>
    <w:rsid w:val="00592AD8"/>
    <w:rsid w:val="005B2275"/>
    <w:rsid w:val="005F3B52"/>
    <w:rsid w:val="00645896"/>
    <w:rsid w:val="009A2DE8"/>
    <w:rsid w:val="009D63C0"/>
    <w:rsid w:val="00B4216B"/>
    <w:rsid w:val="00B4390E"/>
    <w:rsid w:val="00B54502"/>
    <w:rsid w:val="00CF4871"/>
    <w:rsid w:val="00E04D51"/>
    <w:rsid w:val="00EF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1143"/>
  <w15:chartTrackingRefBased/>
  <w15:docId w15:val="{53BDF465-2CFA-4F66-90A8-717E643E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871"/>
    <w:rPr>
      <w:rFonts w:eastAsiaTheme="majorEastAsia" w:cstheme="majorBidi"/>
      <w:color w:val="272727" w:themeColor="text1" w:themeTint="D8"/>
    </w:rPr>
  </w:style>
  <w:style w:type="paragraph" w:styleId="Title">
    <w:name w:val="Title"/>
    <w:basedOn w:val="Normal"/>
    <w:next w:val="Normal"/>
    <w:link w:val="TitleChar"/>
    <w:uiPriority w:val="10"/>
    <w:qFormat/>
    <w:rsid w:val="00CF4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871"/>
    <w:pPr>
      <w:spacing w:before="160"/>
      <w:jc w:val="center"/>
    </w:pPr>
    <w:rPr>
      <w:i/>
      <w:iCs/>
      <w:color w:val="404040" w:themeColor="text1" w:themeTint="BF"/>
    </w:rPr>
  </w:style>
  <w:style w:type="character" w:customStyle="1" w:styleId="QuoteChar">
    <w:name w:val="Quote Char"/>
    <w:basedOn w:val="DefaultParagraphFont"/>
    <w:link w:val="Quote"/>
    <w:uiPriority w:val="29"/>
    <w:rsid w:val="00CF4871"/>
    <w:rPr>
      <w:i/>
      <w:iCs/>
      <w:color w:val="404040" w:themeColor="text1" w:themeTint="BF"/>
    </w:rPr>
  </w:style>
  <w:style w:type="paragraph" w:styleId="ListParagraph">
    <w:name w:val="List Paragraph"/>
    <w:basedOn w:val="Normal"/>
    <w:uiPriority w:val="34"/>
    <w:qFormat/>
    <w:rsid w:val="00CF4871"/>
    <w:pPr>
      <w:ind w:left="720"/>
      <w:contextualSpacing/>
    </w:pPr>
  </w:style>
  <w:style w:type="character" w:styleId="IntenseEmphasis">
    <w:name w:val="Intense Emphasis"/>
    <w:basedOn w:val="DefaultParagraphFont"/>
    <w:uiPriority w:val="21"/>
    <w:qFormat/>
    <w:rsid w:val="00CF4871"/>
    <w:rPr>
      <w:i/>
      <w:iCs/>
      <w:color w:val="0F4761" w:themeColor="accent1" w:themeShade="BF"/>
    </w:rPr>
  </w:style>
  <w:style w:type="paragraph" w:styleId="IntenseQuote">
    <w:name w:val="Intense Quote"/>
    <w:basedOn w:val="Normal"/>
    <w:next w:val="Normal"/>
    <w:link w:val="IntenseQuoteChar"/>
    <w:uiPriority w:val="30"/>
    <w:qFormat/>
    <w:rsid w:val="00CF4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871"/>
    <w:rPr>
      <w:i/>
      <w:iCs/>
      <w:color w:val="0F4761" w:themeColor="accent1" w:themeShade="BF"/>
    </w:rPr>
  </w:style>
  <w:style w:type="character" w:styleId="IntenseReference">
    <w:name w:val="Intense Reference"/>
    <w:basedOn w:val="DefaultParagraphFont"/>
    <w:uiPriority w:val="32"/>
    <w:qFormat/>
    <w:rsid w:val="00CF48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98565">
      <w:bodyDiv w:val="1"/>
      <w:marLeft w:val="0"/>
      <w:marRight w:val="0"/>
      <w:marTop w:val="0"/>
      <w:marBottom w:val="0"/>
      <w:divBdr>
        <w:top w:val="none" w:sz="0" w:space="0" w:color="auto"/>
        <w:left w:val="none" w:sz="0" w:space="0" w:color="auto"/>
        <w:bottom w:val="none" w:sz="0" w:space="0" w:color="auto"/>
        <w:right w:val="none" w:sz="0" w:space="0" w:color="auto"/>
      </w:divBdr>
      <w:divsChild>
        <w:div w:id="1410930716">
          <w:marLeft w:val="0"/>
          <w:marRight w:val="0"/>
          <w:marTop w:val="0"/>
          <w:marBottom w:val="0"/>
          <w:divBdr>
            <w:top w:val="none" w:sz="0" w:space="0" w:color="auto"/>
            <w:left w:val="none" w:sz="0" w:space="0" w:color="auto"/>
            <w:bottom w:val="none" w:sz="0" w:space="0" w:color="auto"/>
            <w:right w:val="none" w:sz="0" w:space="0" w:color="auto"/>
          </w:divBdr>
          <w:divsChild>
            <w:div w:id="416829418">
              <w:marLeft w:val="0"/>
              <w:marRight w:val="0"/>
              <w:marTop w:val="0"/>
              <w:marBottom w:val="0"/>
              <w:divBdr>
                <w:top w:val="none" w:sz="0" w:space="0" w:color="auto"/>
                <w:left w:val="none" w:sz="0" w:space="0" w:color="auto"/>
                <w:bottom w:val="none" w:sz="0" w:space="0" w:color="auto"/>
                <w:right w:val="none" w:sz="0" w:space="0" w:color="auto"/>
              </w:divBdr>
            </w:div>
          </w:divsChild>
        </w:div>
        <w:div w:id="1759668915">
          <w:marLeft w:val="0"/>
          <w:marRight w:val="0"/>
          <w:marTop w:val="0"/>
          <w:marBottom w:val="0"/>
          <w:divBdr>
            <w:top w:val="none" w:sz="0" w:space="0" w:color="auto"/>
            <w:left w:val="none" w:sz="0" w:space="0" w:color="auto"/>
            <w:bottom w:val="none" w:sz="0" w:space="0" w:color="auto"/>
            <w:right w:val="none" w:sz="0" w:space="0" w:color="auto"/>
          </w:divBdr>
          <w:divsChild>
            <w:div w:id="168374885">
              <w:marLeft w:val="0"/>
              <w:marRight w:val="0"/>
              <w:marTop w:val="0"/>
              <w:marBottom w:val="0"/>
              <w:divBdr>
                <w:top w:val="none" w:sz="0" w:space="0" w:color="auto"/>
                <w:left w:val="none" w:sz="0" w:space="0" w:color="auto"/>
                <w:bottom w:val="none" w:sz="0" w:space="0" w:color="auto"/>
                <w:right w:val="none" w:sz="0" w:space="0" w:color="auto"/>
              </w:divBdr>
              <w:divsChild>
                <w:div w:id="1728264029">
                  <w:marLeft w:val="0"/>
                  <w:marRight w:val="0"/>
                  <w:marTop w:val="0"/>
                  <w:marBottom w:val="0"/>
                  <w:divBdr>
                    <w:top w:val="none" w:sz="0" w:space="0" w:color="auto"/>
                    <w:left w:val="none" w:sz="0" w:space="0" w:color="auto"/>
                    <w:bottom w:val="none" w:sz="0" w:space="0" w:color="auto"/>
                    <w:right w:val="none" w:sz="0" w:space="0" w:color="auto"/>
                  </w:divBdr>
                  <w:divsChild>
                    <w:div w:id="26224695">
                      <w:marLeft w:val="0"/>
                      <w:marRight w:val="0"/>
                      <w:marTop w:val="0"/>
                      <w:marBottom w:val="0"/>
                      <w:divBdr>
                        <w:top w:val="none" w:sz="0" w:space="0" w:color="auto"/>
                        <w:left w:val="none" w:sz="0" w:space="0" w:color="auto"/>
                        <w:bottom w:val="none" w:sz="0" w:space="0" w:color="auto"/>
                        <w:right w:val="none" w:sz="0" w:space="0" w:color="auto"/>
                      </w:divBdr>
                      <w:divsChild>
                        <w:div w:id="1597132011">
                          <w:marLeft w:val="0"/>
                          <w:marRight w:val="0"/>
                          <w:marTop w:val="0"/>
                          <w:marBottom w:val="0"/>
                          <w:divBdr>
                            <w:top w:val="none" w:sz="0" w:space="0" w:color="auto"/>
                            <w:left w:val="none" w:sz="0" w:space="0" w:color="auto"/>
                            <w:bottom w:val="none" w:sz="0" w:space="0" w:color="auto"/>
                            <w:right w:val="none" w:sz="0" w:space="0" w:color="auto"/>
                          </w:divBdr>
                        </w:div>
                        <w:div w:id="2031833867">
                          <w:marLeft w:val="0"/>
                          <w:marRight w:val="0"/>
                          <w:marTop w:val="0"/>
                          <w:marBottom w:val="0"/>
                          <w:divBdr>
                            <w:top w:val="none" w:sz="0" w:space="0" w:color="auto"/>
                            <w:left w:val="none" w:sz="0" w:space="0" w:color="auto"/>
                            <w:bottom w:val="none" w:sz="0" w:space="0" w:color="auto"/>
                            <w:right w:val="none" w:sz="0" w:space="0" w:color="auto"/>
                          </w:divBdr>
                        </w:div>
                        <w:div w:id="1811240090">
                          <w:marLeft w:val="0"/>
                          <w:marRight w:val="0"/>
                          <w:marTop w:val="0"/>
                          <w:marBottom w:val="0"/>
                          <w:divBdr>
                            <w:top w:val="none" w:sz="0" w:space="0" w:color="auto"/>
                            <w:left w:val="none" w:sz="0" w:space="0" w:color="auto"/>
                            <w:bottom w:val="none" w:sz="0" w:space="0" w:color="auto"/>
                            <w:right w:val="none" w:sz="0" w:space="0" w:color="auto"/>
                          </w:divBdr>
                        </w:div>
                        <w:div w:id="438960360">
                          <w:marLeft w:val="0"/>
                          <w:marRight w:val="0"/>
                          <w:marTop w:val="0"/>
                          <w:marBottom w:val="0"/>
                          <w:divBdr>
                            <w:top w:val="none" w:sz="0" w:space="0" w:color="auto"/>
                            <w:left w:val="none" w:sz="0" w:space="0" w:color="auto"/>
                            <w:bottom w:val="none" w:sz="0" w:space="0" w:color="auto"/>
                            <w:right w:val="none" w:sz="0" w:space="0" w:color="auto"/>
                          </w:divBdr>
                        </w:div>
                        <w:div w:id="188555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437405">
      <w:bodyDiv w:val="1"/>
      <w:marLeft w:val="0"/>
      <w:marRight w:val="0"/>
      <w:marTop w:val="0"/>
      <w:marBottom w:val="0"/>
      <w:divBdr>
        <w:top w:val="none" w:sz="0" w:space="0" w:color="auto"/>
        <w:left w:val="none" w:sz="0" w:space="0" w:color="auto"/>
        <w:bottom w:val="none" w:sz="0" w:space="0" w:color="auto"/>
        <w:right w:val="none" w:sz="0" w:space="0" w:color="auto"/>
      </w:divBdr>
    </w:div>
    <w:div w:id="407852691">
      <w:bodyDiv w:val="1"/>
      <w:marLeft w:val="0"/>
      <w:marRight w:val="0"/>
      <w:marTop w:val="0"/>
      <w:marBottom w:val="0"/>
      <w:divBdr>
        <w:top w:val="none" w:sz="0" w:space="0" w:color="auto"/>
        <w:left w:val="none" w:sz="0" w:space="0" w:color="auto"/>
        <w:bottom w:val="none" w:sz="0" w:space="0" w:color="auto"/>
        <w:right w:val="none" w:sz="0" w:space="0" w:color="auto"/>
      </w:divBdr>
      <w:divsChild>
        <w:div w:id="54939808">
          <w:marLeft w:val="0"/>
          <w:marRight w:val="0"/>
          <w:marTop w:val="0"/>
          <w:marBottom w:val="0"/>
          <w:divBdr>
            <w:top w:val="none" w:sz="0" w:space="0" w:color="auto"/>
            <w:left w:val="none" w:sz="0" w:space="0" w:color="auto"/>
            <w:bottom w:val="none" w:sz="0" w:space="0" w:color="auto"/>
            <w:right w:val="none" w:sz="0" w:space="0" w:color="auto"/>
          </w:divBdr>
          <w:divsChild>
            <w:div w:id="1887176117">
              <w:marLeft w:val="0"/>
              <w:marRight w:val="0"/>
              <w:marTop w:val="0"/>
              <w:marBottom w:val="0"/>
              <w:divBdr>
                <w:top w:val="none" w:sz="0" w:space="0" w:color="auto"/>
                <w:left w:val="none" w:sz="0" w:space="0" w:color="auto"/>
                <w:bottom w:val="none" w:sz="0" w:space="0" w:color="auto"/>
                <w:right w:val="none" w:sz="0" w:space="0" w:color="auto"/>
              </w:divBdr>
              <w:divsChild>
                <w:div w:id="4834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753">
          <w:marLeft w:val="0"/>
          <w:marRight w:val="0"/>
          <w:marTop w:val="0"/>
          <w:marBottom w:val="0"/>
          <w:divBdr>
            <w:top w:val="none" w:sz="0" w:space="0" w:color="auto"/>
            <w:left w:val="none" w:sz="0" w:space="0" w:color="auto"/>
            <w:bottom w:val="none" w:sz="0" w:space="0" w:color="auto"/>
            <w:right w:val="none" w:sz="0" w:space="0" w:color="auto"/>
          </w:divBdr>
          <w:divsChild>
            <w:div w:id="518471029">
              <w:marLeft w:val="0"/>
              <w:marRight w:val="0"/>
              <w:marTop w:val="0"/>
              <w:marBottom w:val="0"/>
              <w:divBdr>
                <w:top w:val="none" w:sz="0" w:space="0" w:color="auto"/>
                <w:left w:val="none" w:sz="0" w:space="0" w:color="auto"/>
                <w:bottom w:val="none" w:sz="0" w:space="0" w:color="auto"/>
                <w:right w:val="none" w:sz="0" w:space="0" w:color="auto"/>
              </w:divBdr>
              <w:divsChild>
                <w:div w:id="1010915188">
                  <w:marLeft w:val="0"/>
                  <w:marRight w:val="0"/>
                  <w:marTop w:val="0"/>
                  <w:marBottom w:val="0"/>
                  <w:divBdr>
                    <w:top w:val="none" w:sz="0" w:space="0" w:color="auto"/>
                    <w:left w:val="none" w:sz="0" w:space="0" w:color="auto"/>
                    <w:bottom w:val="none" w:sz="0" w:space="0" w:color="auto"/>
                    <w:right w:val="none" w:sz="0" w:space="0" w:color="auto"/>
                  </w:divBdr>
                  <w:divsChild>
                    <w:div w:id="357439044">
                      <w:marLeft w:val="0"/>
                      <w:marRight w:val="0"/>
                      <w:marTop w:val="0"/>
                      <w:marBottom w:val="0"/>
                      <w:divBdr>
                        <w:top w:val="none" w:sz="0" w:space="0" w:color="auto"/>
                        <w:left w:val="none" w:sz="0" w:space="0" w:color="auto"/>
                        <w:bottom w:val="none" w:sz="0" w:space="0" w:color="auto"/>
                        <w:right w:val="none" w:sz="0" w:space="0" w:color="auto"/>
                      </w:divBdr>
                      <w:divsChild>
                        <w:div w:id="588581712">
                          <w:marLeft w:val="0"/>
                          <w:marRight w:val="0"/>
                          <w:marTop w:val="0"/>
                          <w:marBottom w:val="0"/>
                          <w:divBdr>
                            <w:top w:val="none" w:sz="0" w:space="0" w:color="auto"/>
                            <w:left w:val="none" w:sz="0" w:space="0" w:color="auto"/>
                            <w:bottom w:val="none" w:sz="0" w:space="0" w:color="auto"/>
                            <w:right w:val="none" w:sz="0" w:space="0" w:color="auto"/>
                          </w:divBdr>
                        </w:div>
                      </w:divsChild>
                    </w:div>
                    <w:div w:id="1247110796">
                      <w:marLeft w:val="0"/>
                      <w:marRight w:val="0"/>
                      <w:marTop w:val="0"/>
                      <w:marBottom w:val="0"/>
                      <w:divBdr>
                        <w:top w:val="none" w:sz="0" w:space="0" w:color="auto"/>
                        <w:left w:val="none" w:sz="0" w:space="0" w:color="auto"/>
                        <w:bottom w:val="none" w:sz="0" w:space="0" w:color="auto"/>
                        <w:right w:val="none" w:sz="0" w:space="0" w:color="auto"/>
                      </w:divBdr>
                      <w:divsChild>
                        <w:div w:id="1678776617">
                          <w:marLeft w:val="0"/>
                          <w:marRight w:val="0"/>
                          <w:marTop w:val="0"/>
                          <w:marBottom w:val="0"/>
                          <w:divBdr>
                            <w:top w:val="none" w:sz="0" w:space="0" w:color="auto"/>
                            <w:left w:val="none" w:sz="0" w:space="0" w:color="auto"/>
                            <w:bottom w:val="none" w:sz="0" w:space="0" w:color="auto"/>
                            <w:right w:val="none" w:sz="0" w:space="0" w:color="auto"/>
                          </w:divBdr>
                          <w:divsChild>
                            <w:div w:id="1140341703">
                              <w:marLeft w:val="0"/>
                              <w:marRight w:val="0"/>
                              <w:marTop w:val="0"/>
                              <w:marBottom w:val="0"/>
                              <w:divBdr>
                                <w:top w:val="none" w:sz="0" w:space="0" w:color="auto"/>
                                <w:left w:val="none" w:sz="0" w:space="0" w:color="auto"/>
                                <w:bottom w:val="none" w:sz="0" w:space="0" w:color="auto"/>
                                <w:right w:val="none" w:sz="0" w:space="0" w:color="auto"/>
                              </w:divBdr>
                              <w:divsChild>
                                <w:div w:id="2093426649">
                                  <w:marLeft w:val="0"/>
                                  <w:marRight w:val="0"/>
                                  <w:marTop w:val="0"/>
                                  <w:marBottom w:val="0"/>
                                  <w:divBdr>
                                    <w:top w:val="none" w:sz="0" w:space="0" w:color="auto"/>
                                    <w:left w:val="none" w:sz="0" w:space="0" w:color="auto"/>
                                    <w:bottom w:val="none" w:sz="0" w:space="0" w:color="auto"/>
                                    <w:right w:val="none" w:sz="0" w:space="0" w:color="auto"/>
                                  </w:divBdr>
                                  <w:divsChild>
                                    <w:div w:id="1942251391">
                                      <w:marLeft w:val="0"/>
                                      <w:marRight w:val="0"/>
                                      <w:marTop w:val="0"/>
                                      <w:marBottom w:val="0"/>
                                      <w:divBdr>
                                        <w:top w:val="none" w:sz="0" w:space="0" w:color="auto"/>
                                        <w:left w:val="none" w:sz="0" w:space="0" w:color="auto"/>
                                        <w:bottom w:val="none" w:sz="0" w:space="0" w:color="auto"/>
                                        <w:right w:val="none" w:sz="0" w:space="0" w:color="auto"/>
                                      </w:divBdr>
                                    </w:div>
                                    <w:div w:id="1244797310">
                                      <w:marLeft w:val="0"/>
                                      <w:marRight w:val="0"/>
                                      <w:marTop w:val="0"/>
                                      <w:marBottom w:val="0"/>
                                      <w:divBdr>
                                        <w:top w:val="none" w:sz="0" w:space="0" w:color="auto"/>
                                        <w:left w:val="none" w:sz="0" w:space="0" w:color="auto"/>
                                        <w:bottom w:val="none" w:sz="0" w:space="0" w:color="auto"/>
                                        <w:right w:val="none" w:sz="0" w:space="0" w:color="auto"/>
                                      </w:divBdr>
                                    </w:div>
                                    <w:div w:id="572667420">
                                      <w:marLeft w:val="0"/>
                                      <w:marRight w:val="0"/>
                                      <w:marTop w:val="0"/>
                                      <w:marBottom w:val="0"/>
                                      <w:divBdr>
                                        <w:top w:val="none" w:sz="0" w:space="0" w:color="auto"/>
                                        <w:left w:val="none" w:sz="0" w:space="0" w:color="auto"/>
                                        <w:bottom w:val="none" w:sz="0" w:space="0" w:color="auto"/>
                                        <w:right w:val="none" w:sz="0" w:space="0" w:color="auto"/>
                                      </w:divBdr>
                                    </w:div>
                                    <w:div w:id="1024983523">
                                      <w:marLeft w:val="0"/>
                                      <w:marRight w:val="0"/>
                                      <w:marTop w:val="0"/>
                                      <w:marBottom w:val="0"/>
                                      <w:divBdr>
                                        <w:top w:val="none" w:sz="0" w:space="0" w:color="auto"/>
                                        <w:left w:val="none" w:sz="0" w:space="0" w:color="auto"/>
                                        <w:bottom w:val="none" w:sz="0" w:space="0" w:color="auto"/>
                                        <w:right w:val="none" w:sz="0" w:space="0" w:color="auto"/>
                                      </w:divBdr>
                                    </w:div>
                                    <w:div w:id="2076968977">
                                      <w:marLeft w:val="0"/>
                                      <w:marRight w:val="0"/>
                                      <w:marTop w:val="0"/>
                                      <w:marBottom w:val="0"/>
                                      <w:divBdr>
                                        <w:top w:val="none" w:sz="0" w:space="0" w:color="auto"/>
                                        <w:left w:val="none" w:sz="0" w:space="0" w:color="auto"/>
                                        <w:bottom w:val="none" w:sz="0" w:space="0" w:color="auto"/>
                                        <w:right w:val="none" w:sz="0" w:space="0" w:color="auto"/>
                                      </w:divBdr>
                                    </w:div>
                                    <w:div w:id="11988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62907">
      <w:bodyDiv w:val="1"/>
      <w:marLeft w:val="0"/>
      <w:marRight w:val="0"/>
      <w:marTop w:val="0"/>
      <w:marBottom w:val="0"/>
      <w:divBdr>
        <w:top w:val="none" w:sz="0" w:space="0" w:color="auto"/>
        <w:left w:val="none" w:sz="0" w:space="0" w:color="auto"/>
        <w:bottom w:val="none" w:sz="0" w:space="0" w:color="auto"/>
        <w:right w:val="none" w:sz="0" w:space="0" w:color="auto"/>
      </w:divBdr>
      <w:divsChild>
        <w:div w:id="1121070560">
          <w:marLeft w:val="0"/>
          <w:marRight w:val="0"/>
          <w:marTop w:val="0"/>
          <w:marBottom w:val="0"/>
          <w:divBdr>
            <w:top w:val="none" w:sz="0" w:space="0" w:color="auto"/>
            <w:left w:val="none" w:sz="0" w:space="0" w:color="auto"/>
            <w:bottom w:val="none" w:sz="0" w:space="0" w:color="auto"/>
            <w:right w:val="none" w:sz="0" w:space="0" w:color="auto"/>
          </w:divBdr>
        </w:div>
        <w:div w:id="85809700">
          <w:marLeft w:val="0"/>
          <w:marRight w:val="0"/>
          <w:marTop w:val="0"/>
          <w:marBottom w:val="0"/>
          <w:divBdr>
            <w:top w:val="none" w:sz="0" w:space="0" w:color="auto"/>
            <w:left w:val="none" w:sz="0" w:space="0" w:color="auto"/>
            <w:bottom w:val="none" w:sz="0" w:space="0" w:color="auto"/>
            <w:right w:val="none" w:sz="0" w:space="0" w:color="auto"/>
          </w:divBdr>
        </w:div>
        <w:div w:id="903876616">
          <w:marLeft w:val="0"/>
          <w:marRight w:val="0"/>
          <w:marTop w:val="0"/>
          <w:marBottom w:val="0"/>
          <w:divBdr>
            <w:top w:val="none" w:sz="0" w:space="0" w:color="auto"/>
            <w:left w:val="none" w:sz="0" w:space="0" w:color="auto"/>
            <w:bottom w:val="none" w:sz="0" w:space="0" w:color="auto"/>
            <w:right w:val="none" w:sz="0" w:space="0" w:color="auto"/>
          </w:divBdr>
        </w:div>
      </w:divsChild>
    </w:div>
    <w:div w:id="518469048">
      <w:bodyDiv w:val="1"/>
      <w:marLeft w:val="0"/>
      <w:marRight w:val="0"/>
      <w:marTop w:val="0"/>
      <w:marBottom w:val="0"/>
      <w:divBdr>
        <w:top w:val="none" w:sz="0" w:space="0" w:color="auto"/>
        <w:left w:val="none" w:sz="0" w:space="0" w:color="auto"/>
        <w:bottom w:val="none" w:sz="0" w:space="0" w:color="auto"/>
        <w:right w:val="none" w:sz="0" w:space="0" w:color="auto"/>
      </w:divBdr>
      <w:divsChild>
        <w:div w:id="592981393">
          <w:marLeft w:val="0"/>
          <w:marRight w:val="0"/>
          <w:marTop w:val="0"/>
          <w:marBottom w:val="0"/>
          <w:divBdr>
            <w:top w:val="none" w:sz="0" w:space="0" w:color="auto"/>
            <w:left w:val="none" w:sz="0" w:space="0" w:color="auto"/>
            <w:bottom w:val="none" w:sz="0" w:space="0" w:color="auto"/>
            <w:right w:val="none" w:sz="0" w:space="0" w:color="auto"/>
          </w:divBdr>
        </w:div>
        <w:div w:id="777137525">
          <w:marLeft w:val="0"/>
          <w:marRight w:val="0"/>
          <w:marTop w:val="0"/>
          <w:marBottom w:val="0"/>
          <w:divBdr>
            <w:top w:val="none" w:sz="0" w:space="0" w:color="auto"/>
            <w:left w:val="none" w:sz="0" w:space="0" w:color="auto"/>
            <w:bottom w:val="none" w:sz="0" w:space="0" w:color="auto"/>
            <w:right w:val="none" w:sz="0" w:space="0" w:color="auto"/>
          </w:divBdr>
        </w:div>
        <w:div w:id="1940915921">
          <w:marLeft w:val="0"/>
          <w:marRight w:val="0"/>
          <w:marTop w:val="0"/>
          <w:marBottom w:val="0"/>
          <w:divBdr>
            <w:top w:val="none" w:sz="0" w:space="0" w:color="auto"/>
            <w:left w:val="none" w:sz="0" w:space="0" w:color="auto"/>
            <w:bottom w:val="none" w:sz="0" w:space="0" w:color="auto"/>
            <w:right w:val="none" w:sz="0" w:space="0" w:color="auto"/>
          </w:divBdr>
        </w:div>
        <w:div w:id="346635122">
          <w:marLeft w:val="0"/>
          <w:marRight w:val="0"/>
          <w:marTop w:val="0"/>
          <w:marBottom w:val="0"/>
          <w:divBdr>
            <w:top w:val="none" w:sz="0" w:space="0" w:color="auto"/>
            <w:left w:val="none" w:sz="0" w:space="0" w:color="auto"/>
            <w:bottom w:val="none" w:sz="0" w:space="0" w:color="auto"/>
            <w:right w:val="none" w:sz="0" w:space="0" w:color="auto"/>
          </w:divBdr>
        </w:div>
        <w:div w:id="656883092">
          <w:marLeft w:val="0"/>
          <w:marRight w:val="0"/>
          <w:marTop w:val="0"/>
          <w:marBottom w:val="0"/>
          <w:divBdr>
            <w:top w:val="none" w:sz="0" w:space="0" w:color="auto"/>
            <w:left w:val="none" w:sz="0" w:space="0" w:color="auto"/>
            <w:bottom w:val="none" w:sz="0" w:space="0" w:color="auto"/>
            <w:right w:val="none" w:sz="0" w:space="0" w:color="auto"/>
          </w:divBdr>
        </w:div>
        <w:div w:id="1828664718">
          <w:marLeft w:val="0"/>
          <w:marRight w:val="0"/>
          <w:marTop w:val="0"/>
          <w:marBottom w:val="0"/>
          <w:divBdr>
            <w:top w:val="none" w:sz="0" w:space="0" w:color="auto"/>
            <w:left w:val="none" w:sz="0" w:space="0" w:color="auto"/>
            <w:bottom w:val="none" w:sz="0" w:space="0" w:color="auto"/>
            <w:right w:val="none" w:sz="0" w:space="0" w:color="auto"/>
          </w:divBdr>
        </w:div>
        <w:div w:id="329406502">
          <w:marLeft w:val="0"/>
          <w:marRight w:val="0"/>
          <w:marTop w:val="0"/>
          <w:marBottom w:val="0"/>
          <w:divBdr>
            <w:top w:val="none" w:sz="0" w:space="0" w:color="auto"/>
            <w:left w:val="none" w:sz="0" w:space="0" w:color="auto"/>
            <w:bottom w:val="none" w:sz="0" w:space="0" w:color="auto"/>
            <w:right w:val="none" w:sz="0" w:space="0" w:color="auto"/>
          </w:divBdr>
        </w:div>
        <w:div w:id="1341353764">
          <w:marLeft w:val="0"/>
          <w:marRight w:val="0"/>
          <w:marTop w:val="0"/>
          <w:marBottom w:val="0"/>
          <w:divBdr>
            <w:top w:val="none" w:sz="0" w:space="0" w:color="auto"/>
            <w:left w:val="none" w:sz="0" w:space="0" w:color="auto"/>
            <w:bottom w:val="none" w:sz="0" w:space="0" w:color="auto"/>
            <w:right w:val="none" w:sz="0" w:space="0" w:color="auto"/>
          </w:divBdr>
        </w:div>
        <w:div w:id="1600604096">
          <w:marLeft w:val="0"/>
          <w:marRight w:val="0"/>
          <w:marTop w:val="0"/>
          <w:marBottom w:val="0"/>
          <w:divBdr>
            <w:top w:val="none" w:sz="0" w:space="0" w:color="auto"/>
            <w:left w:val="none" w:sz="0" w:space="0" w:color="auto"/>
            <w:bottom w:val="none" w:sz="0" w:space="0" w:color="auto"/>
            <w:right w:val="none" w:sz="0" w:space="0" w:color="auto"/>
          </w:divBdr>
        </w:div>
      </w:divsChild>
    </w:div>
    <w:div w:id="704671672">
      <w:bodyDiv w:val="1"/>
      <w:marLeft w:val="0"/>
      <w:marRight w:val="0"/>
      <w:marTop w:val="0"/>
      <w:marBottom w:val="0"/>
      <w:divBdr>
        <w:top w:val="none" w:sz="0" w:space="0" w:color="auto"/>
        <w:left w:val="none" w:sz="0" w:space="0" w:color="auto"/>
        <w:bottom w:val="none" w:sz="0" w:space="0" w:color="auto"/>
        <w:right w:val="none" w:sz="0" w:space="0" w:color="auto"/>
      </w:divBdr>
      <w:divsChild>
        <w:div w:id="1322076483">
          <w:marLeft w:val="0"/>
          <w:marRight w:val="0"/>
          <w:marTop w:val="0"/>
          <w:marBottom w:val="0"/>
          <w:divBdr>
            <w:top w:val="none" w:sz="0" w:space="0" w:color="auto"/>
            <w:left w:val="none" w:sz="0" w:space="0" w:color="auto"/>
            <w:bottom w:val="none" w:sz="0" w:space="0" w:color="auto"/>
            <w:right w:val="none" w:sz="0" w:space="0" w:color="auto"/>
          </w:divBdr>
        </w:div>
        <w:div w:id="452675909">
          <w:marLeft w:val="0"/>
          <w:marRight w:val="0"/>
          <w:marTop w:val="0"/>
          <w:marBottom w:val="0"/>
          <w:divBdr>
            <w:top w:val="none" w:sz="0" w:space="0" w:color="auto"/>
            <w:left w:val="none" w:sz="0" w:space="0" w:color="auto"/>
            <w:bottom w:val="none" w:sz="0" w:space="0" w:color="auto"/>
            <w:right w:val="none" w:sz="0" w:space="0" w:color="auto"/>
          </w:divBdr>
        </w:div>
        <w:div w:id="2090495523">
          <w:marLeft w:val="0"/>
          <w:marRight w:val="0"/>
          <w:marTop w:val="0"/>
          <w:marBottom w:val="0"/>
          <w:divBdr>
            <w:top w:val="none" w:sz="0" w:space="0" w:color="auto"/>
            <w:left w:val="none" w:sz="0" w:space="0" w:color="auto"/>
            <w:bottom w:val="none" w:sz="0" w:space="0" w:color="auto"/>
            <w:right w:val="none" w:sz="0" w:space="0" w:color="auto"/>
          </w:divBdr>
        </w:div>
        <w:div w:id="1749768945">
          <w:marLeft w:val="0"/>
          <w:marRight w:val="0"/>
          <w:marTop w:val="0"/>
          <w:marBottom w:val="0"/>
          <w:divBdr>
            <w:top w:val="none" w:sz="0" w:space="0" w:color="auto"/>
            <w:left w:val="none" w:sz="0" w:space="0" w:color="auto"/>
            <w:bottom w:val="none" w:sz="0" w:space="0" w:color="auto"/>
            <w:right w:val="none" w:sz="0" w:space="0" w:color="auto"/>
          </w:divBdr>
        </w:div>
        <w:div w:id="91516002">
          <w:marLeft w:val="0"/>
          <w:marRight w:val="0"/>
          <w:marTop w:val="0"/>
          <w:marBottom w:val="0"/>
          <w:divBdr>
            <w:top w:val="none" w:sz="0" w:space="0" w:color="auto"/>
            <w:left w:val="none" w:sz="0" w:space="0" w:color="auto"/>
            <w:bottom w:val="none" w:sz="0" w:space="0" w:color="auto"/>
            <w:right w:val="none" w:sz="0" w:space="0" w:color="auto"/>
          </w:divBdr>
        </w:div>
        <w:div w:id="200213529">
          <w:marLeft w:val="0"/>
          <w:marRight w:val="0"/>
          <w:marTop w:val="0"/>
          <w:marBottom w:val="0"/>
          <w:divBdr>
            <w:top w:val="none" w:sz="0" w:space="0" w:color="auto"/>
            <w:left w:val="none" w:sz="0" w:space="0" w:color="auto"/>
            <w:bottom w:val="none" w:sz="0" w:space="0" w:color="auto"/>
            <w:right w:val="none" w:sz="0" w:space="0" w:color="auto"/>
          </w:divBdr>
        </w:div>
      </w:divsChild>
    </w:div>
    <w:div w:id="741567167">
      <w:bodyDiv w:val="1"/>
      <w:marLeft w:val="0"/>
      <w:marRight w:val="0"/>
      <w:marTop w:val="0"/>
      <w:marBottom w:val="0"/>
      <w:divBdr>
        <w:top w:val="none" w:sz="0" w:space="0" w:color="auto"/>
        <w:left w:val="none" w:sz="0" w:space="0" w:color="auto"/>
        <w:bottom w:val="none" w:sz="0" w:space="0" w:color="auto"/>
        <w:right w:val="none" w:sz="0" w:space="0" w:color="auto"/>
      </w:divBdr>
      <w:divsChild>
        <w:div w:id="1990163511">
          <w:marLeft w:val="0"/>
          <w:marRight w:val="0"/>
          <w:marTop w:val="0"/>
          <w:marBottom w:val="0"/>
          <w:divBdr>
            <w:top w:val="none" w:sz="0" w:space="0" w:color="auto"/>
            <w:left w:val="none" w:sz="0" w:space="0" w:color="auto"/>
            <w:bottom w:val="none" w:sz="0" w:space="0" w:color="auto"/>
            <w:right w:val="none" w:sz="0" w:space="0" w:color="auto"/>
          </w:divBdr>
        </w:div>
        <w:div w:id="48694247">
          <w:marLeft w:val="0"/>
          <w:marRight w:val="0"/>
          <w:marTop w:val="0"/>
          <w:marBottom w:val="0"/>
          <w:divBdr>
            <w:top w:val="none" w:sz="0" w:space="0" w:color="auto"/>
            <w:left w:val="none" w:sz="0" w:space="0" w:color="auto"/>
            <w:bottom w:val="none" w:sz="0" w:space="0" w:color="auto"/>
            <w:right w:val="none" w:sz="0" w:space="0" w:color="auto"/>
          </w:divBdr>
        </w:div>
        <w:div w:id="804356076">
          <w:marLeft w:val="0"/>
          <w:marRight w:val="0"/>
          <w:marTop w:val="0"/>
          <w:marBottom w:val="0"/>
          <w:divBdr>
            <w:top w:val="none" w:sz="0" w:space="0" w:color="auto"/>
            <w:left w:val="none" w:sz="0" w:space="0" w:color="auto"/>
            <w:bottom w:val="none" w:sz="0" w:space="0" w:color="auto"/>
            <w:right w:val="none" w:sz="0" w:space="0" w:color="auto"/>
          </w:divBdr>
        </w:div>
        <w:div w:id="1051341051">
          <w:marLeft w:val="0"/>
          <w:marRight w:val="0"/>
          <w:marTop w:val="0"/>
          <w:marBottom w:val="0"/>
          <w:divBdr>
            <w:top w:val="none" w:sz="0" w:space="0" w:color="auto"/>
            <w:left w:val="none" w:sz="0" w:space="0" w:color="auto"/>
            <w:bottom w:val="none" w:sz="0" w:space="0" w:color="auto"/>
            <w:right w:val="none" w:sz="0" w:space="0" w:color="auto"/>
          </w:divBdr>
        </w:div>
        <w:div w:id="765615179">
          <w:marLeft w:val="0"/>
          <w:marRight w:val="0"/>
          <w:marTop w:val="0"/>
          <w:marBottom w:val="0"/>
          <w:divBdr>
            <w:top w:val="none" w:sz="0" w:space="0" w:color="auto"/>
            <w:left w:val="none" w:sz="0" w:space="0" w:color="auto"/>
            <w:bottom w:val="none" w:sz="0" w:space="0" w:color="auto"/>
            <w:right w:val="none" w:sz="0" w:space="0" w:color="auto"/>
          </w:divBdr>
        </w:div>
        <w:div w:id="1570505889">
          <w:marLeft w:val="0"/>
          <w:marRight w:val="0"/>
          <w:marTop w:val="0"/>
          <w:marBottom w:val="0"/>
          <w:divBdr>
            <w:top w:val="none" w:sz="0" w:space="0" w:color="auto"/>
            <w:left w:val="none" w:sz="0" w:space="0" w:color="auto"/>
            <w:bottom w:val="none" w:sz="0" w:space="0" w:color="auto"/>
            <w:right w:val="none" w:sz="0" w:space="0" w:color="auto"/>
          </w:divBdr>
        </w:div>
      </w:divsChild>
    </w:div>
    <w:div w:id="847406063">
      <w:bodyDiv w:val="1"/>
      <w:marLeft w:val="0"/>
      <w:marRight w:val="0"/>
      <w:marTop w:val="0"/>
      <w:marBottom w:val="0"/>
      <w:divBdr>
        <w:top w:val="none" w:sz="0" w:space="0" w:color="auto"/>
        <w:left w:val="none" w:sz="0" w:space="0" w:color="auto"/>
        <w:bottom w:val="none" w:sz="0" w:space="0" w:color="auto"/>
        <w:right w:val="none" w:sz="0" w:space="0" w:color="auto"/>
      </w:divBdr>
    </w:div>
    <w:div w:id="896553168">
      <w:bodyDiv w:val="1"/>
      <w:marLeft w:val="0"/>
      <w:marRight w:val="0"/>
      <w:marTop w:val="0"/>
      <w:marBottom w:val="0"/>
      <w:divBdr>
        <w:top w:val="none" w:sz="0" w:space="0" w:color="auto"/>
        <w:left w:val="none" w:sz="0" w:space="0" w:color="auto"/>
        <w:bottom w:val="none" w:sz="0" w:space="0" w:color="auto"/>
        <w:right w:val="none" w:sz="0" w:space="0" w:color="auto"/>
      </w:divBdr>
    </w:div>
    <w:div w:id="1010916377">
      <w:bodyDiv w:val="1"/>
      <w:marLeft w:val="0"/>
      <w:marRight w:val="0"/>
      <w:marTop w:val="0"/>
      <w:marBottom w:val="0"/>
      <w:divBdr>
        <w:top w:val="none" w:sz="0" w:space="0" w:color="auto"/>
        <w:left w:val="none" w:sz="0" w:space="0" w:color="auto"/>
        <w:bottom w:val="none" w:sz="0" w:space="0" w:color="auto"/>
        <w:right w:val="none" w:sz="0" w:space="0" w:color="auto"/>
      </w:divBdr>
    </w:div>
    <w:div w:id="1077704217">
      <w:bodyDiv w:val="1"/>
      <w:marLeft w:val="0"/>
      <w:marRight w:val="0"/>
      <w:marTop w:val="0"/>
      <w:marBottom w:val="0"/>
      <w:divBdr>
        <w:top w:val="none" w:sz="0" w:space="0" w:color="auto"/>
        <w:left w:val="none" w:sz="0" w:space="0" w:color="auto"/>
        <w:bottom w:val="none" w:sz="0" w:space="0" w:color="auto"/>
        <w:right w:val="none" w:sz="0" w:space="0" w:color="auto"/>
      </w:divBdr>
      <w:divsChild>
        <w:div w:id="224611822">
          <w:marLeft w:val="0"/>
          <w:marRight w:val="0"/>
          <w:marTop w:val="0"/>
          <w:marBottom w:val="0"/>
          <w:divBdr>
            <w:top w:val="none" w:sz="0" w:space="0" w:color="auto"/>
            <w:left w:val="none" w:sz="0" w:space="0" w:color="auto"/>
            <w:bottom w:val="none" w:sz="0" w:space="0" w:color="auto"/>
            <w:right w:val="none" w:sz="0" w:space="0" w:color="auto"/>
          </w:divBdr>
        </w:div>
        <w:div w:id="1424566411">
          <w:marLeft w:val="0"/>
          <w:marRight w:val="0"/>
          <w:marTop w:val="0"/>
          <w:marBottom w:val="0"/>
          <w:divBdr>
            <w:top w:val="none" w:sz="0" w:space="0" w:color="auto"/>
            <w:left w:val="none" w:sz="0" w:space="0" w:color="auto"/>
            <w:bottom w:val="none" w:sz="0" w:space="0" w:color="auto"/>
            <w:right w:val="none" w:sz="0" w:space="0" w:color="auto"/>
          </w:divBdr>
        </w:div>
        <w:div w:id="2001033926">
          <w:marLeft w:val="0"/>
          <w:marRight w:val="0"/>
          <w:marTop w:val="0"/>
          <w:marBottom w:val="0"/>
          <w:divBdr>
            <w:top w:val="none" w:sz="0" w:space="0" w:color="auto"/>
            <w:left w:val="none" w:sz="0" w:space="0" w:color="auto"/>
            <w:bottom w:val="none" w:sz="0" w:space="0" w:color="auto"/>
            <w:right w:val="none" w:sz="0" w:space="0" w:color="auto"/>
          </w:divBdr>
        </w:div>
        <w:div w:id="440301920">
          <w:marLeft w:val="0"/>
          <w:marRight w:val="0"/>
          <w:marTop w:val="0"/>
          <w:marBottom w:val="0"/>
          <w:divBdr>
            <w:top w:val="none" w:sz="0" w:space="0" w:color="auto"/>
            <w:left w:val="none" w:sz="0" w:space="0" w:color="auto"/>
            <w:bottom w:val="none" w:sz="0" w:space="0" w:color="auto"/>
            <w:right w:val="none" w:sz="0" w:space="0" w:color="auto"/>
          </w:divBdr>
        </w:div>
        <w:div w:id="824276097">
          <w:marLeft w:val="0"/>
          <w:marRight w:val="0"/>
          <w:marTop w:val="0"/>
          <w:marBottom w:val="0"/>
          <w:divBdr>
            <w:top w:val="none" w:sz="0" w:space="0" w:color="auto"/>
            <w:left w:val="none" w:sz="0" w:space="0" w:color="auto"/>
            <w:bottom w:val="none" w:sz="0" w:space="0" w:color="auto"/>
            <w:right w:val="none" w:sz="0" w:space="0" w:color="auto"/>
          </w:divBdr>
        </w:div>
        <w:div w:id="1120605444">
          <w:marLeft w:val="0"/>
          <w:marRight w:val="0"/>
          <w:marTop w:val="0"/>
          <w:marBottom w:val="0"/>
          <w:divBdr>
            <w:top w:val="none" w:sz="0" w:space="0" w:color="auto"/>
            <w:left w:val="none" w:sz="0" w:space="0" w:color="auto"/>
            <w:bottom w:val="none" w:sz="0" w:space="0" w:color="auto"/>
            <w:right w:val="none" w:sz="0" w:space="0" w:color="auto"/>
          </w:divBdr>
        </w:div>
        <w:div w:id="623390280">
          <w:marLeft w:val="0"/>
          <w:marRight w:val="0"/>
          <w:marTop w:val="0"/>
          <w:marBottom w:val="0"/>
          <w:divBdr>
            <w:top w:val="none" w:sz="0" w:space="0" w:color="auto"/>
            <w:left w:val="none" w:sz="0" w:space="0" w:color="auto"/>
            <w:bottom w:val="none" w:sz="0" w:space="0" w:color="auto"/>
            <w:right w:val="none" w:sz="0" w:space="0" w:color="auto"/>
          </w:divBdr>
        </w:div>
        <w:div w:id="1861239813">
          <w:marLeft w:val="0"/>
          <w:marRight w:val="0"/>
          <w:marTop w:val="0"/>
          <w:marBottom w:val="0"/>
          <w:divBdr>
            <w:top w:val="none" w:sz="0" w:space="0" w:color="auto"/>
            <w:left w:val="none" w:sz="0" w:space="0" w:color="auto"/>
            <w:bottom w:val="none" w:sz="0" w:space="0" w:color="auto"/>
            <w:right w:val="none" w:sz="0" w:space="0" w:color="auto"/>
          </w:divBdr>
        </w:div>
        <w:div w:id="1271283134">
          <w:marLeft w:val="0"/>
          <w:marRight w:val="0"/>
          <w:marTop w:val="0"/>
          <w:marBottom w:val="0"/>
          <w:divBdr>
            <w:top w:val="none" w:sz="0" w:space="0" w:color="auto"/>
            <w:left w:val="none" w:sz="0" w:space="0" w:color="auto"/>
            <w:bottom w:val="none" w:sz="0" w:space="0" w:color="auto"/>
            <w:right w:val="none" w:sz="0" w:space="0" w:color="auto"/>
          </w:divBdr>
        </w:div>
      </w:divsChild>
    </w:div>
    <w:div w:id="1207067499">
      <w:bodyDiv w:val="1"/>
      <w:marLeft w:val="0"/>
      <w:marRight w:val="0"/>
      <w:marTop w:val="0"/>
      <w:marBottom w:val="0"/>
      <w:divBdr>
        <w:top w:val="none" w:sz="0" w:space="0" w:color="auto"/>
        <w:left w:val="none" w:sz="0" w:space="0" w:color="auto"/>
        <w:bottom w:val="none" w:sz="0" w:space="0" w:color="auto"/>
        <w:right w:val="none" w:sz="0" w:space="0" w:color="auto"/>
      </w:divBdr>
    </w:div>
    <w:div w:id="1338578283">
      <w:bodyDiv w:val="1"/>
      <w:marLeft w:val="0"/>
      <w:marRight w:val="0"/>
      <w:marTop w:val="0"/>
      <w:marBottom w:val="0"/>
      <w:divBdr>
        <w:top w:val="none" w:sz="0" w:space="0" w:color="auto"/>
        <w:left w:val="none" w:sz="0" w:space="0" w:color="auto"/>
        <w:bottom w:val="none" w:sz="0" w:space="0" w:color="auto"/>
        <w:right w:val="none" w:sz="0" w:space="0" w:color="auto"/>
      </w:divBdr>
    </w:div>
    <w:div w:id="1411610948">
      <w:bodyDiv w:val="1"/>
      <w:marLeft w:val="0"/>
      <w:marRight w:val="0"/>
      <w:marTop w:val="0"/>
      <w:marBottom w:val="0"/>
      <w:divBdr>
        <w:top w:val="none" w:sz="0" w:space="0" w:color="auto"/>
        <w:left w:val="none" w:sz="0" w:space="0" w:color="auto"/>
        <w:bottom w:val="none" w:sz="0" w:space="0" w:color="auto"/>
        <w:right w:val="none" w:sz="0" w:space="0" w:color="auto"/>
      </w:divBdr>
    </w:div>
    <w:div w:id="1457290019">
      <w:bodyDiv w:val="1"/>
      <w:marLeft w:val="0"/>
      <w:marRight w:val="0"/>
      <w:marTop w:val="0"/>
      <w:marBottom w:val="0"/>
      <w:divBdr>
        <w:top w:val="none" w:sz="0" w:space="0" w:color="auto"/>
        <w:left w:val="none" w:sz="0" w:space="0" w:color="auto"/>
        <w:bottom w:val="none" w:sz="0" w:space="0" w:color="auto"/>
        <w:right w:val="none" w:sz="0" w:space="0" w:color="auto"/>
      </w:divBdr>
      <w:divsChild>
        <w:div w:id="579027650">
          <w:marLeft w:val="0"/>
          <w:marRight w:val="0"/>
          <w:marTop w:val="0"/>
          <w:marBottom w:val="0"/>
          <w:divBdr>
            <w:top w:val="none" w:sz="0" w:space="0" w:color="auto"/>
            <w:left w:val="none" w:sz="0" w:space="0" w:color="auto"/>
            <w:bottom w:val="none" w:sz="0" w:space="0" w:color="auto"/>
            <w:right w:val="none" w:sz="0" w:space="0" w:color="auto"/>
          </w:divBdr>
        </w:div>
        <w:div w:id="624388533">
          <w:marLeft w:val="0"/>
          <w:marRight w:val="0"/>
          <w:marTop w:val="0"/>
          <w:marBottom w:val="0"/>
          <w:divBdr>
            <w:top w:val="none" w:sz="0" w:space="0" w:color="auto"/>
            <w:left w:val="none" w:sz="0" w:space="0" w:color="auto"/>
            <w:bottom w:val="none" w:sz="0" w:space="0" w:color="auto"/>
            <w:right w:val="none" w:sz="0" w:space="0" w:color="auto"/>
          </w:divBdr>
        </w:div>
        <w:div w:id="1672877363">
          <w:marLeft w:val="0"/>
          <w:marRight w:val="0"/>
          <w:marTop w:val="0"/>
          <w:marBottom w:val="0"/>
          <w:divBdr>
            <w:top w:val="none" w:sz="0" w:space="0" w:color="auto"/>
            <w:left w:val="none" w:sz="0" w:space="0" w:color="auto"/>
            <w:bottom w:val="none" w:sz="0" w:space="0" w:color="auto"/>
            <w:right w:val="none" w:sz="0" w:space="0" w:color="auto"/>
          </w:divBdr>
        </w:div>
      </w:divsChild>
    </w:div>
    <w:div w:id="1635063836">
      <w:bodyDiv w:val="1"/>
      <w:marLeft w:val="0"/>
      <w:marRight w:val="0"/>
      <w:marTop w:val="0"/>
      <w:marBottom w:val="0"/>
      <w:divBdr>
        <w:top w:val="none" w:sz="0" w:space="0" w:color="auto"/>
        <w:left w:val="none" w:sz="0" w:space="0" w:color="auto"/>
        <w:bottom w:val="none" w:sz="0" w:space="0" w:color="auto"/>
        <w:right w:val="none" w:sz="0" w:space="0" w:color="auto"/>
      </w:divBdr>
      <w:divsChild>
        <w:div w:id="1604607282">
          <w:marLeft w:val="0"/>
          <w:marRight w:val="0"/>
          <w:marTop w:val="0"/>
          <w:marBottom w:val="0"/>
          <w:divBdr>
            <w:top w:val="none" w:sz="0" w:space="0" w:color="auto"/>
            <w:left w:val="none" w:sz="0" w:space="0" w:color="auto"/>
            <w:bottom w:val="none" w:sz="0" w:space="0" w:color="auto"/>
            <w:right w:val="none" w:sz="0" w:space="0" w:color="auto"/>
          </w:divBdr>
        </w:div>
        <w:div w:id="1392120276">
          <w:marLeft w:val="0"/>
          <w:marRight w:val="0"/>
          <w:marTop w:val="0"/>
          <w:marBottom w:val="0"/>
          <w:divBdr>
            <w:top w:val="none" w:sz="0" w:space="0" w:color="auto"/>
            <w:left w:val="none" w:sz="0" w:space="0" w:color="auto"/>
            <w:bottom w:val="none" w:sz="0" w:space="0" w:color="auto"/>
            <w:right w:val="none" w:sz="0" w:space="0" w:color="auto"/>
          </w:divBdr>
        </w:div>
        <w:div w:id="1694963299">
          <w:marLeft w:val="0"/>
          <w:marRight w:val="0"/>
          <w:marTop w:val="0"/>
          <w:marBottom w:val="0"/>
          <w:divBdr>
            <w:top w:val="none" w:sz="0" w:space="0" w:color="auto"/>
            <w:left w:val="none" w:sz="0" w:space="0" w:color="auto"/>
            <w:bottom w:val="none" w:sz="0" w:space="0" w:color="auto"/>
            <w:right w:val="none" w:sz="0" w:space="0" w:color="auto"/>
          </w:divBdr>
        </w:div>
        <w:div w:id="655039910">
          <w:marLeft w:val="0"/>
          <w:marRight w:val="0"/>
          <w:marTop w:val="0"/>
          <w:marBottom w:val="0"/>
          <w:divBdr>
            <w:top w:val="none" w:sz="0" w:space="0" w:color="auto"/>
            <w:left w:val="none" w:sz="0" w:space="0" w:color="auto"/>
            <w:bottom w:val="none" w:sz="0" w:space="0" w:color="auto"/>
            <w:right w:val="none" w:sz="0" w:space="0" w:color="auto"/>
          </w:divBdr>
        </w:div>
        <w:div w:id="1004748426">
          <w:marLeft w:val="0"/>
          <w:marRight w:val="0"/>
          <w:marTop w:val="0"/>
          <w:marBottom w:val="0"/>
          <w:divBdr>
            <w:top w:val="none" w:sz="0" w:space="0" w:color="auto"/>
            <w:left w:val="none" w:sz="0" w:space="0" w:color="auto"/>
            <w:bottom w:val="none" w:sz="0" w:space="0" w:color="auto"/>
            <w:right w:val="none" w:sz="0" w:space="0" w:color="auto"/>
          </w:divBdr>
        </w:div>
        <w:div w:id="1170218248">
          <w:marLeft w:val="0"/>
          <w:marRight w:val="0"/>
          <w:marTop w:val="0"/>
          <w:marBottom w:val="0"/>
          <w:divBdr>
            <w:top w:val="none" w:sz="0" w:space="0" w:color="auto"/>
            <w:left w:val="none" w:sz="0" w:space="0" w:color="auto"/>
            <w:bottom w:val="none" w:sz="0" w:space="0" w:color="auto"/>
            <w:right w:val="none" w:sz="0" w:space="0" w:color="auto"/>
          </w:divBdr>
        </w:div>
        <w:div w:id="832648538">
          <w:marLeft w:val="0"/>
          <w:marRight w:val="0"/>
          <w:marTop w:val="0"/>
          <w:marBottom w:val="0"/>
          <w:divBdr>
            <w:top w:val="none" w:sz="0" w:space="0" w:color="auto"/>
            <w:left w:val="none" w:sz="0" w:space="0" w:color="auto"/>
            <w:bottom w:val="none" w:sz="0" w:space="0" w:color="auto"/>
            <w:right w:val="none" w:sz="0" w:space="0" w:color="auto"/>
          </w:divBdr>
        </w:div>
        <w:div w:id="1297371454">
          <w:marLeft w:val="0"/>
          <w:marRight w:val="0"/>
          <w:marTop w:val="0"/>
          <w:marBottom w:val="0"/>
          <w:divBdr>
            <w:top w:val="none" w:sz="0" w:space="0" w:color="auto"/>
            <w:left w:val="none" w:sz="0" w:space="0" w:color="auto"/>
            <w:bottom w:val="none" w:sz="0" w:space="0" w:color="auto"/>
            <w:right w:val="none" w:sz="0" w:space="0" w:color="auto"/>
          </w:divBdr>
        </w:div>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1635598754">
      <w:bodyDiv w:val="1"/>
      <w:marLeft w:val="0"/>
      <w:marRight w:val="0"/>
      <w:marTop w:val="0"/>
      <w:marBottom w:val="0"/>
      <w:divBdr>
        <w:top w:val="none" w:sz="0" w:space="0" w:color="auto"/>
        <w:left w:val="none" w:sz="0" w:space="0" w:color="auto"/>
        <w:bottom w:val="none" w:sz="0" w:space="0" w:color="auto"/>
        <w:right w:val="none" w:sz="0" w:space="0" w:color="auto"/>
      </w:divBdr>
    </w:div>
    <w:div w:id="1707100453">
      <w:bodyDiv w:val="1"/>
      <w:marLeft w:val="0"/>
      <w:marRight w:val="0"/>
      <w:marTop w:val="0"/>
      <w:marBottom w:val="0"/>
      <w:divBdr>
        <w:top w:val="none" w:sz="0" w:space="0" w:color="auto"/>
        <w:left w:val="none" w:sz="0" w:space="0" w:color="auto"/>
        <w:bottom w:val="none" w:sz="0" w:space="0" w:color="auto"/>
        <w:right w:val="none" w:sz="0" w:space="0" w:color="auto"/>
      </w:divBdr>
    </w:div>
    <w:div w:id="1757749141">
      <w:bodyDiv w:val="1"/>
      <w:marLeft w:val="0"/>
      <w:marRight w:val="0"/>
      <w:marTop w:val="0"/>
      <w:marBottom w:val="0"/>
      <w:divBdr>
        <w:top w:val="none" w:sz="0" w:space="0" w:color="auto"/>
        <w:left w:val="none" w:sz="0" w:space="0" w:color="auto"/>
        <w:bottom w:val="none" w:sz="0" w:space="0" w:color="auto"/>
        <w:right w:val="none" w:sz="0" w:space="0" w:color="auto"/>
      </w:divBdr>
      <w:divsChild>
        <w:div w:id="194657195">
          <w:marLeft w:val="0"/>
          <w:marRight w:val="0"/>
          <w:marTop w:val="0"/>
          <w:marBottom w:val="0"/>
          <w:divBdr>
            <w:top w:val="none" w:sz="0" w:space="0" w:color="auto"/>
            <w:left w:val="none" w:sz="0" w:space="0" w:color="auto"/>
            <w:bottom w:val="none" w:sz="0" w:space="0" w:color="auto"/>
            <w:right w:val="none" w:sz="0" w:space="0" w:color="auto"/>
          </w:divBdr>
        </w:div>
        <w:div w:id="728846906">
          <w:marLeft w:val="0"/>
          <w:marRight w:val="0"/>
          <w:marTop w:val="0"/>
          <w:marBottom w:val="0"/>
          <w:divBdr>
            <w:top w:val="none" w:sz="0" w:space="0" w:color="auto"/>
            <w:left w:val="none" w:sz="0" w:space="0" w:color="auto"/>
            <w:bottom w:val="none" w:sz="0" w:space="0" w:color="auto"/>
            <w:right w:val="none" w:sz="0" w:space="0" w:color="auto"/>
          </w:divBdr>
        </w:div>
        <w:div w:id="331955074">
          <w:marLeft w:val="0"/>
          <w:marRight w:val="0"/>
          <w:marTop w:val="0"/>
          <w:marBottom w:val="0"/>
          <w:divBdr>
            <w:top w:val="none" w:sz="0" w:space="0" w:color="auto"/>
            <w:left w:val="none" w:sz="0" w:space="0" w:color="auto"/>
            <w:bottom w:val="none" w:sz="0" w:space="0" w:color="auto"/>
            <w:right w:val="none" w:sz="0" w:space="0" w:color="auto"/>
          </w:divBdr>
        </w:div>
        <w:div w:id="374039098">
          <w:marLeft w:val="0"/>
          <w:marRight w:val="0"/>
          <w:marTop w:val="0"/>
          <w:marBottom w:val="0"/>
          <w:divBdr>
            <w:top w:val="none" w:sz="0" w:space="0" w:color="auto"/>
            <w:left w:val="none" w:sz="0" w:space="0" w:color="auto"/>
            <w:bottom w:val="none" w:sz="0" w:space="0" w:color="auto"/>
            <w:right w:val="none" w:sz="0" w:space="0" w:color="auto"/>
          </w:divBdr>
        </w:div>
        <w:div w:id="1884100304">
          <w:marLeft w:val="0"/>
          <w:marRight w:val="0"/>
          <w:marTop w:val="0"/>
          <w:marBottom w:val="0"/>
          <w:divBdr>
            <w:top w:val="none" w:sz="0" w:space="0" w:color="auto"/>
            <w:left w:val="none" w:sz="0" w:space="0" w:color="auto"/>
            <w:bottom w:val="none" w:sz="0" w:space="0" w:color="auto"/>
            <w:right w:val="none" w:sz="0" w:space="0" w:color="auto"/>
          </w:divBdr>
        </w:div>
        <w:div w:id="1205287709">
          <w:marLeft w:val="0"/>
          <w:marRight w:val="0"/>
          <w:marTop w:val="0"/>
          <w:marBottom w:val="0"/>
          <w:divBdr>
            <w:top w:val="none" w:sz="0" w:space="0" w:color="auto"/>
            <w:left w:val="none" w:sz="0" w:space="0" w:color="auto"/>
            <w:bottom w:val="none" w:sz="0" w:space="0" w:color="auto"/>
            <w:right w:val="none" w:sz="0" w:space="0" w:color="auto"/>
          </w:divBdr>
        </w:div>
        <w:div w:id="1420981339">
          <w:marLeft w:val="0"/>
          <w:marRight w:val="0"/>
          <w:marTop w:val="0"/>
          <w:marBottom w:val="0"/>
          <w:divBdr>
            <w:top w:val="none" w:sz="0" w:space="0" w:color="auto"/>
            <w:left w:val="none" w:sz="0" w:space="0" w:color="auto"/>
            <w:bottom w:val="none" w:sz="0" w:space="0" w:color="auto"/>
            <w:right w:val="none" w:sz="0" w:space="0" w:color="auto"/>
          </w:divBdr>
        </w:div>
      </w:divsChild>
    </w:div>
    <w:div w:id="1784378819">
      <w:bodyDiv w:val="1"/>
      <w:marLeft w:val="0"/>
      <w:marRight w:val="0"/>
      <w:marTop w:val="0"/>
      <w:marBottom w:val="0"/>
      <w:divBdr>
        <w:top w:val="none" w:sz="0" w:space="0" w:color="auto"/>
        <w:left w:val="none" w:sz="0" w:space="0" w:color="auto"/>
        <w:bottom w:val="none" w:sz="0" w:space="0" w:color="auto"/>
        <w:right w:val="none" w:sz="0" w:space="0" w:color="auto"/>
      </w:divBdr>
      <w:divsChild>
        <w:div w:id="835270037">
          <w:marLeft w:val="0"/>
          <w:marRight w:val="0"/>
          <w:marTop w:val="0"/>
          <w:marBottom w:val="0"/>
          <w:divBdr>
            <w:top w:val="none" w:sz="0" w:space="0" w:color="auto"/>
            <w:left w:val="none" w:sz="0" w:space="0" w:color="auto"/>
            <w:bottom w:val="none" w:sz="0" w:space="0" w:color="auto"/>
            <w:right w:val="none" w:sz="0" w:space="0" w:color="auto"/>
          </w:divBdr>
          <w:divsChild>
            <w:div w:id="153854221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086">
          <w:marLeft w:val="0"/>
          <w:marRight w:val="0"/>
          <w:marTop w:val="0"/>
          <w:marBottom w:val="0"/>
          <w:divBdr>
            <w:top w:val="none" w:sz="0" w:space="0" w:color="auto"/>
            <w:left w:val="none" w:sz="0" w:space="0" w:color="auto"/>
            <w:bottom w:val="none" w:sz="0" w:space="0" w:color="auto"/>
            <w:right w:val="none" w:sz="0" w:space="0" w:color="auto"/>
          </w:divBdr>
          <w:divsChild>
            <w:div w:id="1718971384">
              <w:marLeft w:val="0"/>
              <w:marRight w:val="0"/>
              <w:marTop w:val="0"/>
              <w:marBottom w:val="0"/>
              <w:divBdr>
                <w:top w:val="none" w:sz="0" w:space="0" w:color="auto"/>
                <w:left w:val="none" w:sz="0" w:space="0" w:color="auto"/>
                <w:bottom w:val="none" w:sz="0" w:space="0" w:color="auto"/>
                <w:right w:val="none" w:sz="0" w:space="0" w:color="auto"/>
              </w:divBdr>
              <w:divsChild>
                <w:div w:id="1826317939">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sChild>
                        <w:div w:id="649139525">
                          <w:marLeft w:val="0"/>
                          <w:marRight w:val="0"/>
                          <w:marTop w:val="0"/>
                          <w:marBottom w:val="0"/>
                          <w:divBdr>
                            <w:top w:val="none" w:sz="0" w:space="0" w:color="auto"/>
                            <w:left w:val="none" w:sz="0" w:space="0" w:color="auto"/>
                            <w:bottom w:val="none" w:sz="0" w:space="0" w:color="auto"/>
                            <w:right w:val="none" w:sz="0" w:space="0" w:color="auto"/>
                          </w:divBdr>
                        </w:div>
                      </w:divsChild>
                    </w:div>
                    <w:div w:id="417333778">
                      <w:marLeft w:val="0"/>
                      <w:marRight w:val="0"/>
                      <w:marTop w:val="0"/>
                      <w:marBottom w:val="0"/>
                      <w:divBdr>
                        <w:top w:val="none" w:sz="0" w:space="0" w:color="auto"/>
                        <w:left w:val="none" w:sz="0" w:space="0" w:color="auto"/>
                        <w:bottom w:val="none" w:sz="0" w:space="0" w:color="auto"/>
                        <w:right w:val="none" w:sz="0" w:space="0" w:color="auto"/>
                      </w:divBdr>
                      <w:divsChild>
                        <w:div w:id="1831213095">
                          <w:marLeft w:val="0"/>
                          <w:marRight w:val="0"/>
                          <w:marTop w:val="0"/>
                          <w:marBottom w:val="0"/>
                          <w:divBdr>
                            <w:top w:val="none" w:sz="0" w:space="0" w:color="auto"/>
                            <w:left w:val="none" w:sz="0" w:space="0" w:color="auto"/>
                            <w:bottom w:val="none" w:sz="0" w:space="0" w:color="auto"/>
                            <w:right w:val="none" w:sz="0" w:space="0" w:color="auto"/>
                          </w:divBdr>
                          <w:divsChild>
                            <w:div w:id="1309243497">
                              <w:marLeft w:val="0"/>
                              <w:marRight w:val="0"/>
                              <w:marTop w:val="0"/>
                              <w:marBottom w:val="0"/>
                              <w:divBdr>
                                <w:top w:val="none" w:sz="0" w:space="0" w:color="auto"/>
                                <w:left w:val="none" w:sz="0" w:space="0" w:color="auto"/>
                                <w:bottom w:val="none" w:sz="0" w:space="0" w:color="auto"/>
                                <w:right w:val="none" w:sz="0" w:space="0" w:color="auto"/>
                              </w:divBdr>
                              <w:divsChild>
                                <w:div w:id="2087992656">
                                  <w:marLeft w:val="0"/>
                                  <w:marRight w:val="0"/>
                                  <w:marTop w:val="0"/>
                                  <w:marBottom w:val="0"/>
                                  <w:divBdr>
                                    <w:top w:val="none" w:sz="0" w:space="0" w:color="auto"/>
                                    <w:left w:val="none" w:sz="0" w:space="0" w:color="auto"/>
                                    <w:bottom w:val="none" w:sz="0" w:space="0" w:color="auto"/>
                                    <w:right w:val="none" w:sz="0" w:space="0" w:color="auto"/>
                                  </w:divBdr>
                                  <w:divsChild>
                                    <w:div w:id="482625947">
                                      <w:marLeft w:val="0"/>
                                      <w:marRight w:val="0"/>
                                      <w:marTop w:val="0"/>
                                      <w:marBottom w:val="0"/>
                                      <w:divBdr>
                                        <w:top w:val="none" w:sz="0" w:space="0" w:color="auto"/>
                                        <w:left w:val="none" w:sz="0" w:space="0" w:color="auto"/>
                                        <w:bottom w:val="none" w:sz="0" w:space="0" w:color="auto"/>
                                        <w:right w:val="none" w:sz="0" w:space="0" w:color="auto"/>
                                      </w:divBdr>
                                    </w:div>
                                    <w:div w:id="1614551323">
                                      <w:marLeft w:val="0"/>
                                      <w:marRight w:val="0"/>
                                      <w:marTop w:val="0"/>
                                      <w:marBottom w:val="0"/>
                                      <w:divBdr>
                                        <w:top w:val="none" w:sz="0" w:space="0" w:color="auto"/>
                                        <w:left w:val="none" w:sz="0" w:space="0" w:color="auto"/>
                                        <w:bottom w:val="none" w:sz="0" w:space="0" w:color="auto"/>
                                        <w:right w:val="none" w:sz="0" w:space="0" w:color="auto"/>
                                      </w:divBdr>
                                    </w:div>
                                    <w:div w:id="772357165">
                                      <w:marLeft w:val="0"/>
                                      <w:marRight w:val="0"/>
                                      <w:marTop w:val="0"/>
                                      <w:marBottom w:val="0"/>
                                      <w:divBdr>
                                        <w:top w:val="none" w:sz="0" w:space="0" w:color="auto"/>
                                        <w:left w:val="none" w:sz="0" w:space="0" w:color="auto"/>
                                        <w:bottom w:val="none" w:sz="0" w:space="0" w:color="auto"/>
                                        <w:right w:val="none" w:sz="0" w:space="0" w:color="auto"/>
                                      </w:divBdr>
                                    </w:div>
                                    <w:div w:id="735010189">
                                      <w:marLeft w:val="0"/>
                                      <w:marRight w:val="0"/>
                                      <w:marTop w:val="0"/>
                                      <w:marBottom w:val="0"/>
                                      <w:divBdr>
                                        <w:top w:val="none" w:sz="0" w:space="0" w:color="auto"/>
                                        <w:left w:val="none" w:sz="0" w:space="0" w:color="auto"/>
                                        <w:bottom w:val="none" w:sz="0" w:space="0" w:color="auto"/>
                                        <w:right w:val="none" w:sz="0" w:space="0" w:color="auto"/>
                                      </w:divBdr>
                                    </w:div>
                                    <w:div w:id="297272916">
                                      <w:marLeft w:val="0"/>
                                      <w:marRight w:val="0"/>
                                      <w:marTop w:val="0"/>
                                      <w:marBottom w:val="0"/>
                                      <w:divBdr>
                                        <w:top w:val="none" w:sz="0" w:space="0" w:color="auto"/>
                                        <w:left w:val="none" w:sz="0" w:space="0" w:color="auto"/>
                                        <w:bottom w:val="none" w:sz="0" w:space="0" w:color="auto"/>
                                        <w:right w:val="none" w:sz="0" w:space="0" w:color="auto"/>
                                      </w:divBdr>
                                    </w:div>
                                    <w:div w:id="1209294149">
                                      <w:marLeft w:val="0"/>
                                      <w:marRight w:val="0"/>
                                      <w:marTop w:val="0"/>
                                      <w:marBottom w:val="0"/>
                                      <w:divBdr>
                                        <w:top w:val="none" w:sz="0" w:space="0" w:color="auto"/>
                                        <w:left w:val="none" w:sz="0" w:space="0" w:color="auto"/>
                                        <w:bottom w:val="none" w:sz="0" w:space="0" w:color="auto"/>
                                        <w:right w:val="none" w:sz="0" w:space="0" w:color="auto"/>
                                      </w:divBdr>
                                    </w:div>
                                    <w:div w:id="32001144">
                                      <w:marLeft w:val="0"/>
                                      <w:marRight w:val="0"/>
                                      <w:marTop w:val="0"/>
                                      <w:marBottom w:val="0"/>
                                      <w:divBdr>
                                        <w:top w:val="none" w:sz="0" w:space="0" w:color="auto"/>
                                        <w:left w:val="none" w:sz="0" w:space="0" w:color="auto"/>
                                        <w:bottom w:val="none" w:sz="0" w:space="0" w:color="auto"/>
                                        <w:right w:val="none" w:sz="0" w:space="0" w:color="auto"/>
                                      </w:divBdr>
                                    </w:div>
                                    <w:div w:id="590771948">
                                      <w:marLeft w:val="0"/>
                                      <w:marRight w:val="0"/>
                                      <w:marTop w:val="0"/>
                                      <w:marBottom w:val="0"/>
                                      <w:divBdr>
                                        <w:top w:val="none" w:sz="0" w:space="0" w:color="auto"/>
                                        <w:left w:val="none" w:sz="0" w:space="0" w:color="auto"/>
                                        <w:bottom w:val="none" w:sz="0" w:space="0" w:color="auto"/>
                                        <w:right w:val="none" w:sz="0" w:space="0" w:color="auto"/>
                                      </w:divBdr>
                                    </w:div>
                                    <w:div w:id="19475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686564">
      <w:bodyDiv w:val="1"/>
      <w:marLeft w:val="0"/>
      <w:marRight w:val="0"/>
      <w:marTop w:val="0"/>
      <w:marBottom w:val="0"/>
      <w:divBdr>
        <w:top w:val="none" w:sz="0" w:space="0" w:color="auto"/>
        <w:left w:val="none" w:sz="0" w:space="0" w:color="auto"/>
        <w:bottom w:val="none" w:sz="0" w:space="0" w:color="auto"/>
        <w:right w:val="none" w:sz="0" w:space="0" w:color="auto"/>
      </w:divBdr>
      <w:divsChild>
        <w:div w:id="32849158">
          <w:marLeft w:val="0"/>
          <w:marRight w:val="0"/>
          <w:marTop w:val="0"/>
          <w:marBottom w:val="0"/>
          <w:divBdr>
            <w:top w:val="none" w:sz="0" w:space="0" w:color="auto"/>
            <w:left w:val="none" w:sz="0" w:space="0" w:color="auto"/>
            <w:bottom w:val="none" w:sz="0" w:space="0" w:color="auto"/>
            <w:right w:val="none" w:sz="0" w:space="0" w:color="auto"/>
          </w:divBdr>
        </w:div>
        <w:div w:id="433787521">
          <w:marLeft w:val="0"/>
          <w:marRight w:val="0"/>
          <w:marTop w:val="0"/>
          <w:marBottom w:val="0"/>
          <w:divBdr>
            <w:top w:val="none" w:sz="0" w:space="0" w:color="auto"/>
            <w:left w:val="none" w:sz="0" w:space="0" w:color="auto"/>
            <w:bottom w:val="none" w:sz="0" w:space="0" w:color="auto"/>
            <w:right w:val="none" w:sz="0" w:space="0" w:color="auto"/>
          </w:divBdr>
        </w:div>
        <w:div w:id="1524057754">
          <w:marLeft w:val="0"/>
          <w:marRight w:val="0"/>
          <w:marTop w:val="0"/>
          <w:marBottom w:val="0"/>
          <w:divBdr>
            <w:top w:val="none" w:sz="0" w:space="0" w:color="auto"/>
            <w:left w:val="none" w:sz="0" w:space="0" w:color="auto"/>
            <w:bottom w:val="none" w:sz="0" w:space="0" w:color="auto"/>
            <w:right w:val="none" w:sz="0" w:space="0" w:color="auto"/>
          </w:divBdr>
        </w:div>
        <w:div w:id="761074081">
          <w:marLeft w:val="0"/>
          <w:marRight w:val="0"/>
          <w:marTop w:val="0"/>
          <w:marBottom w:val="0"/>
          <w:divBdr>
            <w:top w:val="none" w:sz="0" w:space="0" w:color="auto"/>
            <w:left w:val="none" w:sz="0" w:space="0" w:color="auto"/>
            <w:bottom w:val="none" w:sz="0" w:space="0" w:color="auto"/>
            <w:right w:val="none" w:sz="0" w:space="0" w:color="auto"/>
          </w:divBdr>
        </w:div>
        <w:div w:id="1252663631">
          <w:marLeft w:val="0"/>
          <w:marRight w:val="0"/>
          <w:marTop w:val="0"/>
          <w:marBottom w:val="0"/>
          <w:divBdr>
            <w:top w:val="none" w:sz="0" w:space="0" w:color="auto"/>
            <w:left w:val="none" w:sz="0" w:space="0" w:color="auto"/>
            <w:bottom w:val="none" w:sz="0" w:space="0" w:color="auto"/>
            <w:right w:val="none" w:sz="0" w:space="0" w:color="auto"/>
          </w:divBdr>
        </w:div>
        <w:div w:id="223833359">
          <w:marLeft w:val="0"/>
          <w:marRight w:val="0"/>
          <w:marTop w:val="0"/>
          <w:marBottom w:val="0"/>
          <w:divBdr>
            <w:top w:val="none" w:sz="0" w:space="0" w:color="auto"/>
            <w:left w:val="none" w:sz="0" w:space="0" w:color="auto"/>
            <w:bottom w:val="none" w:sz="0" w:space="0" w:color="auto"/>
            <w:right w:val="none" w:sz="0" w:space="0" w:color="auto"/>
          </w:divBdr>
        </w:div>
        <w:div w:id="1186599876">
          <w:marLeft w:val="0"/>
          <w:marRight w:val="0"/>
          <w:marTop w:val="0"/>
          <w:marBottom w:val="0"/>
          <w:divBdr>
            <w:top w:val="none" w:sz="0" w:space="0" w:color="auto"/>
            <w:left w:val="none" w:sz="0" w:space="0" w:color="auto"/>
            <w:bottom w:val="none" w:sz="0" w:space="0" w:color="auto"/>
            <w:right w:val="none" w:sz="0" w:space="0" w:color="auto"/>
          </w:divBdr>
        </w:div>
        <w:div w:id="1160340991">
          <w:marLeft w:val="0"/>
          <w:marRight w:val="0"/>
          <w:marTop w:val="0"/>
          <w:marBottom w:val="0"/>
          <w:divBdr>
            <w:top w:val="none" w:sz="0" w:space="0" w:color="auto"/>
            <w:left w:val="none" w:sz="0" w:space="0" w:color="auto"/>
            <w:bottom w:val="none" w:sz="0" w:space="0" w:color="auto"/>
            <w:right w:val="none" w:sz="0" w:space="0" w:color="auto"/>
          </w:divBdr>
        </w:div>
        <w:div w:id="520163602">
          <w:marLeft w:val="0"/>
          <w:marRight w:val="0"/>
          <w:marTop w:val="0"/>
          <w:marBottom w:val="0"/>
          <w:divBdr>
            <w:top w:val="none" w:sz="0" w:space="0" w:color="auto"/>
            <w:left w:val="none" w:sz="0" w:space="0" w:color="auto"/>
            <w:bottom w:val="none" w:sz="0" w:space="0" w:color="auto"/>
            <w:right w:val="none" w:sz="0" w:space="0" w:color="auto"/>
          </w:divBdr>
        </w:div>
      </w:divsChild>
    </w:div>
    <w:div w:id="1791586888">
      <w:bodyDiv w:val="1"/>
      <w:marLeft w:val="0"/>
      <w:marRight w:val="0"/>
      <w:marTop w:val="0"/>
      <w:marBottom w:val="0"/>
      <w:divBdr>
        <w:top w:val="none" w:sz="0" w:space="0" w:color="auto"/>
        <w:left w:val="none" w:sz="0" w:space="0" w:color="auto"/>
        <w:bottom w:val="none" w:sz="0" w:space="0" w:color="auto"/>
        <w:right w:val="none" w:sz="0" w:space="0" w:color="auto"/>
      </w:divBdr>
      <w:divsChild>
        <w:div w:id="1149982758">
          <w:marLeft w:val="0"/>
          <w:marRight w:val="0"/>
          <w:marTop w:val="0"/>
          <w:marBottom w:val="0"/>
          <w:divBdr>
            <w:top w:val="none" w:sz="0" w:space="0" w:color="auto"/>
            <w:left w:val="none" w:sz="0" w:space="0" w:color="auto"/>
            <w:bottom w:val="none" w:sz="0" w:space="0" w:color="auto"/>
            <w:right w:val="none" w:sz="0" w:space="0" w:color="auto"/>
          </w:divBdr>
        </w:div>
        <w:div w:id="1467964357">
          <w:marLeft w:val="0"/>
          <w:marRight w:val="0"/>
          <w:marTop w:val="0"/>
          <w:marBottom w:val="0"/>
          <w:divBdr>
            <w:top w:val="none" w:sz="0" w:space="0" w:color="auto"/>
            <w:left w:val="none" w:sz="0" w:space="0" w:color="auto"/>
            <w:bottom w:val="none" w:sz="0" w:space="0" w:color="auto"/>
            <w:right w:val="none" w:sz="0" w:space="0" w:color="auto"/>
          </w:divBdr>
        </w:div>
        <w:div w:id="2118212635">
          <w:marLeft w:val="0"/>
          <w:marRight w:val="0"/>
          <w:marTop w:val="0"/>
          <w:marBottom w:val="0"/>
          <w:divBdr>
            <w:top w:val="none" w:sz="0" w:space="0" w:color="auto"/>
            <w:left w:val="none" w:sz="0" w:space="0" w:color="auto"/>
            <w:bottom w:val="none" w:sz="0" w:space="0" w:color="auto"/>
            <w:right w:val="none" w:sz="0" w:space="0" w:color="auto"/>
          </w:divBdr>
        </w:div>
        <w:div w:id="752626750">
          <w:marLeft w:val="0"/>
          <w:marRight w:val="0"/>
          <w:marTop w:val="0"/>
          <w:marBottom w:val="0"/>
          <w:divBdr>
            <w:top w:val="none" w:sz="0" w:space="0" w:color="auto"/>
            <w:left w:val="none" w:sz="0" w:space="0" w:color="auto"/>
            <w:bottom w:val="none" w:sz="0" w:space="0" w:color="auto"/>
            <w:right w:val="none" w:sz="0" w:space="0" w:color="auto"/>
          </w:divBdr>
        </w:div>
        <w:div w:id="287778757">
          <w:marLeft w:val="0"/>
          <w:marRight w:val="0"/>
          <w:marTop w:val="0"/>
          <w:marBottom w:val="0"/>
          <w:divBdr>
            <w:top w:val="none" w:sz="0" w:space="0" w:color="auto"/>
            <w:left w:val="none" w:sz="0" w:space="0" w:color="auto"/>
            <w:bottom w:val="none" w:sz="0" w:space="0" w:color="auto"/>
            <w:right w:val="none" w:sz="0" w:space="0" w:color="auto"/>
          </w:divBdr>
        </w:div>
        <w:div w:id="1663775010">
          <w:marLeft w:val="0"/>
          <w:marRight w:val="0"/>
          <w:marTop w:val="0"/>
          <w:marBottom w:val="0"/>
          <w:divBdr>
            <w:top w:val="none" w:sz="0" w:space="0" w:color="auto"/>
            <w:left w:val="none" w:sz="0" w:space="0" w:color="auto"/>
            <w:bottom w:val="none" w:sz="0" w:space="0" w:color="auto"/>
            <w:right w:val="none" w:sz="0" w:space="0" w:color="auto"/>
          </w:divBdr>
        </w:div>
        <w:div w:id="1809275010">
          <w:marLeft w:val="0"/>
          <w:marRight w:val="0"/>
          <w:marTop w:val="0"/>
          <w:marBottom w:val="0"/>
          <w:divBdr>
            <w:top w:val="none" w:sz="0" w:space="0" w:color="auto"/>
            <w:left w:val="none" w:sz="0" w:space="0" w:color="auto"/>
            <w:bottom w:val="none" w:sz="0" w:space="0" w:color="auto"/>
            <w:right w:val="none" w:sz="0" w:space="0" w:color="auto"/>
          </w:divBdr>
        </w:div>
        <w:div w:id="1683628894">
          <w:marLeft w:val="0"/>
          <w:marRight w:val="0"/>
          <w:marTop w:val="0"/>
          <w:marBottom w:val="0"/>
          <w:divBdr>
            <w:top w:val="none" w:sz="0" w:space="0" w:color="auto"/>
            <w:left w:val="none" w:sz="0" w:space="0" w:color="auto"/>
            <w:bottom w:val="none" w:sz="0" w:space="0" w:color="auto"/>
            <w:right w:val="none" w:sz="0" w:space="0" w:color="auto"/>
          </w:divBdr>
        </w:div>
        <w:div w:id="1489176721">
          <w:marLeft w:val="0"/>
          <w:marRight w:val="0"/>
          <w:marTop w:val="0"/>
          <w:marBottom w:val="0"/>
          <w:divBdr>
            <w:top w:val="none" w:sz="0" w:space="0" w:color="auto"/>
            <w:left w:val="none" w:sz="0" w:space="0" w:color="auto"/>
            <w:bottom w:val="none" w:sz="0" w:space="0" w:color="auto"/>
            <w:right w:val="none" w:sz="0" w:space="0" w:color="auto"/>
          </w:divBdr>
        </w:div>
        <w:div w:id="418646456">
          <w:marLeft w:val="0"/>
          <w:marRight w:val="0"/>
          <w:marTop w:val="0"/>
          <w:marBottom w:val="0"/>
          <w:divBdr>
            <w:top w:val="none" w:sz="0" w:space="0" w:color="auto"/>
            <w:left w:val="none" w:sz="0" w:space="0" w:color="auto"/>
            <w:bottom w:val="none" w:sz="0" w:space="0" w:color="auto"/>
            <w:right w:val="none" w:sz="0" w:space="0" w:color="auto"/>
          </w:divBdr>
        </w:div>
      </w:divsChild>
    </w:div>
    <w:div w:id="1798058721">
      <w:bodyDiv w:val="1"/>
      <w:marLeft w:val="0"/>
      <w:marRight w:val="0"/>
      <w:marTop w:val="0"/>
      <w:marBottom w:val="0"/>
      <w:divBdr>
        <w:top w:val="none" w:sz="0" w:space="0" w:color="auto"/>
        <w:left w:val="none" w:sz="0" w:space="0" w:color="auto"/>
        <w:bottom w:val="none" w:sz="0" w:space="0" w:color="auto"/>
        <w:right w:val="none" w:sz="0" w:space="0" w:color="auto"/>
      </w:divBdr>
    </w:div>
    <w:div w:id="1870947556">
      <w:bodyDiv w:val="1"/>
      <w:marLeft w:val="0"/>
      <w:marRight w:val="0"/>
      <w:marTop w:val="0"/>
      <w:marBottom w:val="0"/>
      <w:divBdr>
        <w:top w:val="none" w:sz="0" w:space="0" w:color="auto"/>
        <w:left w:val="none" w:sz="0" w:space="0" w:color="auto"/>
        <w:bottom w:val="none" w:sz="0" w:space="0" w:color="auto"/>
        <w:right w:val="none" w:sz="0" w:space="0" w:color="auto"/>
      </w:divBdr>
      <w:divsChild>
        <w:div w:id="661857440">
          <w:marLeft w:val="0"/>
          <w:marRight w:val="0"/>
          <w:marTop w:val="0"/>
          <w:marBottom w:val="0"/>
          <w:divBdr>
            <w:top w:val="none" w:sz="0" w:space="0" w:color="auto"/>
            <w:left w:val="none" w:sz="0" w:space="0" w:color="auto"/>
            <w:bottom w:val="none" w:sz="0" w:space="0" w:color="auto"/>
            <w:right w:val="none" w:sz="0" w:space="0" w:color="auto"/>
          </w:divBdr>
        </w:div>
        <w:div w:id="1132288766">
          <w:marLeft w:val="0"/>
          <w:marRight w:val="0"/>
          <w:marTop w:val="0"/>
          <w:marBottom w:val="0"/>
          <w:divBdr>
            <w:top w:val="none" w:sz="0" w:space="0" w:color="auto"/>
            <w:left w:val="none" w:sz="0" w:space="0" w:color="auto"/>
            <w:bottom w:val="none" w:sz="0" w:space="0" w:color="auto"/>
            <w:right w:val="none" w:sz="0" w:space="0" w:color="auto"/>
          </w:divBdr>
        </w:div>
        <w:div w:id="1039432212">
          <w:marLeft w:val="0"/>
          <w:marRight w:val="0"/>
          <w:marTop w:val="0"/>
          <w:marBottom w:val="0"/>
          <w:divBdr>
            <w:top w:val="none" w:sz="0" w:space="0" w:color="auto"/>
            <w:left w:val="none" w:sz="0" w:space="0" w:color="auto"/>
            <w:bottom w:val="none" w:sz="0" w:space="0" w:color="auto"/>
            <w:right w:val="none" w:sz="0" w:space="0" w:color="auto"/>
          </w:divBdr>
        </w:div>
        <w:div w:id="2036349038">
          <w:marLeft w:val="0"/>
          <w:marRight w:val="0"/>
          <w:marTop w:val="0"/>
          <w:marBottom w:val="0"/>
          <w:divBdr>
            <w:top w:val="none" w:sz="0" w:space="0" w:color="auto"/>
            <w:left w:val="none" w:sz="0" w:space="0" w:color="auto"/>
            <w:bottom w:val="none" w:sz="0" w:space="0" w:color="auto"/>
            <w:right w:val="none" w:sz="0" w:space="0" w:color="auto"/>
          </w:divBdr>
        </w:div>
        <w:div w:id="1921521793">
          <w:marLeft w:val="0"/>
          <w:marRight w:val="0"/>
          <w:marTop w:val="0"/>
          <w:marBottom w:val="0"/>
          <w:divBdr>
            <w:top w:val="none" w:sz="0" w:space="0" w:color="auto"/>
            <w:left w:val="none" w:sz="0" w:space="0" w:color="auto"/>
            <w:bottom w:val="none" w:sz="0" w:space="0" w:color="auto"/>
            <w:right w:val="none" w:sz="0" w:space="0" w:color="auto"/>
          </w:divBdr>
        </w:div>
        <w:div w:id="1491553435">
          <w:marLeft w:val="0"/>
          <w:marRight w:val="0"/>
          <w:marTop w:val="0"/>
          <w:marBottom w:val="0"/>
          <w:divBdr>
            <w:top w:val="none" w:sz="0" w:space="0" w:color="auto"/>
            <w:left w:val="none" w:sz="0" w:space="0" w:color="auto"/>
            <w:bottom w:val="none" w:sz="0" w:space="0" w:color="auto"/>
            <w:right w:val="none" w:sz="0" w:space="0" w:color="auto"/>
          </w:divBdr>
        </w:div>
        <w:div w:id="606734503">
          <w:marLeft w:val="0"/>
          <w:marRight w:val="0"/>
          <w:marTop w:val="0"/>
          <w:marBottom w:val="0"/>
          <w:divBdr>
            <w:top w:val="none" w:sz="0" w:space="0" w:color="auto"/>
            <w:left w:val="none" w:sz="0" w:space="0" w:color="auto"/>
            <w:bottom w:val="none" w:sz="0" w:space="0" w:color="auto"/>
            <w:right w:val="none" w:sz="0" w:space="0" w:color="auto"/>
          </w:divBdr>
        </w:div>
        <w:div w:id="7803838">
          <w:marLeft w:val="0"/>
          <w:marRight w:val="0"/>
          <w:marTop w:val="0"/>
          <w:marBottom w:val="0"/>
          <w:divBdr>
            <w:top w:val="none" w:sz="0" w:space="0" w:color="auto"/>
            <w:left w:val="none" w:sz="0" w:space="0" w:color="auto"/>
            <w:bottom w:val="none" w:sz="0" w:space="0" w:color="auto"/>
            <w:right w:val="none" w:sz="0" w:space="0" w:color="auto"/>
          </w:divBdr>
        </w:div>
        <w:div w:id="1598513071">
          <w:marLeft w:val="0"/>
          <w:marRight w:val="0"/>
          <w:marTop w:val="0"/>
          <w:marBottom w:val="0"/>
          <w:divBdr>
            <w:top w:val="none" w:sz="0" w:space="0" w:color="auto"/>
            <w:left w:val="none" w:sz="0" w:space="0" w:color="auto"/>
            <w:bottom w:val="none" w:sz="0" w:space="0" w:color="auto"/>
            <w:right w:val="none" w:sz="0" w:space="0" w:color="auto"/>
          </w:divBdr>
        </w:div>
      </w:divsChild>
    </w:div>
    <w:div w:id="1909850186">
      <w:bodyDiv w:val="1"/>
      <w:marLeft w:val="0"/>
      <w:marRight w:val="0"/>
      <w:marTop w:val="0"/>
      <w:marBottom w:val="0"/>
      <w:divBdr>
        <w:top w:val="none" w:sz="0" w:space="0" w:color="auto"/>
        <w:left w:val="none" w:sz="0" w:space="0" w:color="auto"/>
        <w:bottom w:val="none" w:sz="0" w:space="0" w:color="auto"/>
        <w:right w:val="none" w:sz="0" w:space="0" w:color="auto"/>
      </w:divBdr>
      <w:divsChild>
        <w:div w:id="1052189879">
          <w:marLeft w:val="0"/>
          <w:marRight w:val="0"/>
          <w:marTop w:val="0"/>
          <w:marBottom w:val="0"/>
          <w:divBdr>
            <w:top w:val="none" w:sz="0" w:space="0" w:color="auto"/>
            <w:left w:val="none" w:sz="0" w:space="0" w:color="auto"/>
            <w:bottom w:val="none" w:sz="0" w:space="0" w:color="auto"/>
            <w:right w:val="none" w:sz="0" w:space="0" w:color="auto"/>
          </w:divBdr>
          <w:divsChild>
            <w:div w:id="1546940899">
              <w:marLeft w:val="0"/>
              <w:marRight w:val="0"/>
              <w:marTop w:val="0"/>
              <w:marBottom w:val="0"/>
              <w:divBdr>
                <w:top w:val="none" w:sz="0" w:space="0" w:color="auto"/>
                <w:left w:val="none" w:sz="0" w:space="0" w:color="auto"/>
                <w:bottom w:val="none" w:sz="0" w:space="0" w:color="auto"/>
                <w:right w:val="none" w:sz="0" w:space="0" w:color="auto"/>
              </w:divBdr>
            </w:div>
          </w:divsChild>
        </w:div>
        <w:div w:id="698361605">
          <w:marLeft w:val="0"/>
          <w:marRight w:val="0"/>
          <w:marTop w:val="0"/>
          <w:marBottom w:val="0"/>
          <w:divBdr>
            <w:top w:val="none" w:sz="0" w:space="0" w:color="auto"/>
            <w:left w:val="none" w:sz="0" w:space="0" w:color="auto"/>
            <w:bottom w:val="none" w:sz="0" w:space="0" w:color="auto"/>
            <w:right w:val="none" w:sz="0" w:space="0" w:color="auto"/>
          </w:divBdr>
          <w:divsChild>
            <w:div w:id="1589845512">
              <w:marLeft w:val="0"/>
              <w:marRight w:val="0"/>
              <w:marTop w:val="0"/>
              <w:marBottom w:val="0"/>
              <w:divBdr>
                <w:top w:val="none" w:sz="0" w:space="0" w:color="auto"/>
                <w:left w:val="none" w:sz="0" w:space="0" w:color="auto"/>
                <w:bottom w:val="none" w:sz="0" w:space="0" w:color="auto"/>
                <w:right w:val="none" w:sz="0" w:space="0" w:color="auto"/>
              </w:divBdr>
              <w:divsChild>
                <w:div w:id="1376664276">
                  <w:marLeft w:val="0"/>
                  <w:marRight w:val="0"/>
                  <w:marTop w:val="0"/>
                  <w:marBottom w:val="0"/>
                  <w:divBdr>
                    <w:top w:val="none" w:sz="0" w:space="0" w:color="auto"/>
                    <w:left w:val="none" w:sz="0" w:space="0" w:color="auto"/>
                    <w:bottom w:val="none" w:sz="0" w:space="0" w:color="auto"/>
                    <w:right w:val="none" w:sz="0" w:space="0" w:color="auto"/>
                  </w:divBdr>
                  <w:divsChild>
                    <w:div w:id="1356954775">
                      <w:marLeft w:val="0"/>
                      <w:marRight w:val="0"/>
                      <w:marTop w:val="0"/>
                      <w:marBottom w:val="0"/>
                      <w:divBdr>
                        <w:top w:val="none" w:sz="0" w:space="0" w:color="auto"/>
                        <w:left w:val="none" w:sz="0" w:space="0" w:color="auto"/>
                        <w:bottom w:val="none" w:sz="0" w:space="0" w:color="auto"/>
                        <w:right w:val="none" w:sz="0" w:space="0" w:color="auto"/>
                      </w:divBdr>
                      <w:divsChild>
                        <w:div w:id="1815103024">
                          <w:marLeft w:val="0"/>
                          <w:marRight w:val="0"/>
                          <w:marTop w:val="0"/>
                          <w:marBottom w:val="0"/>
                          <w:divBdr>
                            <w:top w:val="none" w:sz="0" w:space="0" w:color="auto"/>
                            <w:left w:val="none" w:sz="0" w:space="0" w:color="auto"/>
                            <w:bottom w:val="none" w:sz="0" w:space="0" w:color="auto"/>
                            <w:right w:val="none" w:sz="0" w:space="0" w:color="auto"/>
                          </w:divBdr>
                        </w:div>
                        <w:div w:id="536241863">
                          <w:marLeft w:val="0"/>
                          <w:marRight w:val="0"/>
                          <w:marTop w:val="0"/>
                          <w:marBottom w:val="0"/>
                          <w:divBdr>
                            <w:top w:val="none" w:sz="0" w:space="0" w:color="auto"/>
                            <w:left w:val="none" w:sz="0" w:space="0" w:color="auto"/>
                            <w:bottom w:val="none" w:sz="0" w:space="0" w:color="auto"/>
                            <w:right w:val="none" w:sz="0" w:space="0" w:color="auto"/>
                          </w:divBdr>
                        </w:div>
                        <w:div w:id="256980955">
                          <w:marLeft w:val="0"/>
                          <w:marRight w:val="0"/>
                          <w:marTop w:val="0"/>
                          <w:marBottom w:val="0"/>
                          <w:divBdr>
                            <w:top w:val="none" w:sz="0" w:space="0" w:color="auto"/>
                            <w:left w:val="none" w:sz="0" w:space="0" w:color="auto"/>
                            <w:bottom w:val="none" w:sz="0" w:space="0" w:color="auto"/>
                            <w:right w:val="none" w:sz="0" w:space="0" w:color="auto"/>
                          </w:divBdr>
                        </w:div>
                        <w:div w:id="1748573724">
                          <w:marLeft w:val="0"/>
                          <w:marRight w:val="0"/>
                          <w:marTop w:val="0"/>
                          <w:marBottom w:val="0"/>
                          <w:divBdr>
                            <w:top w:val="none" w:sz="0" w:space="0" w:color="auto"/>
                            <w:left w:val="none" w:sz="0" w:space="0" w:color="auto"/>
                            <w:bottom w:val="none" w:sz="0" w:space="0" w:color="auto"/>
                            <w:right w:val="none" w:sz="0" w:space="0" w:color="auto"/>
                          </w:divBdr>
                        </w:div>
                        <w:div w:id="17938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91359">
      <w:bodyDiv w:val="1"/>
      <w:marLeft w:val="0"/>
      <w:marRight w:val="0"/>
      <w:marTop w:val="0"/>
      <w:marBottom w:val="0"/>
      <w:divBdr>
        <w:top w:val="none" w:sz="0" w:space="0" w:color="auto"/>
        <w:left w:val="none" w:sz="0" w:space="0" w:color="auto"/>
        <w:bottom w:val="none" w:sz="0" w:space="0" w:color="auto"/>
        <w:right w:val="none" w:sz="0" w:space="0" w:color="auto"/>
      </w:divBdr>
      <w:divsChild>
        <w:div w:id="645822908">
          <w:marLeft w:val="0"/>
          <w:marRight w:val="0"/>
          <w:marTop w:val="0"/>
          <w:marBottom w:val="0"/>
          <w:divBdr>
            <w:top w:val="none" w:sz="0" w:space="0" w:color="auto"/>
            <w:left w:val="none" w:sz="0" w:space="0" w:color="auto"/>
            <w:bottom w:val="none" w:sz="0" w:space="0" w:color="auto"/>
            <w:right w:val="none" w:sz="0" w:space="0" w:color="auto"/>
          </w:divBdr>
        </w:div>
        <w:div w:id="1238127840">
          <w:marLeft w:val="0"/>
          <w:marRight w:val="0"/>
          <w:marTop w:val="0"/>
          <w:marBottom w:val="0"/>
          <w:divBdr>
            <w:top w:val="none" w:sz="0" w:space="0" w:color="auto"/>
            <w:left w:val="none" w:sz="0" w:space="0" w:color="auto"/>
            <w:bottom w:val="none" w:sz="0" w:space="0" w:color="auto"/>
            <w:right w:val="none" w:sz="0" w:space="0" w:color="auto"/>
          </w:divBdr>
        </w:div>
        <w:div w:id="833840909">
          <w:marLeft w:val="0"/>
          <w:marRight w:val="0"/>
          <w:marTop w:val="0"/>
          <w:marBottom w:val="0"/>
          <w:divBdr>
            <w:top w:val="none" w:sz="0" w:space="0" w:color="auto"/>
            <w:left w:val="none" w:sz="0" w:space="0" w:color="auto"/>
            <w:bottom w:val="none" w:sz="0" w:space="0" w:color="auto"/>
            <w:right w:val="none" w:sz="0" w:space="0" w:color="auto"/>
          </w:divBdr>
        </w:div>
        <w:div w:id="2063558191">
          <w:marLeft w:val="0"/>
          <w:marRight w:val="0"/>
          <w:marTop w:val="0"/>
          <w:marBottom w:val="0"/>
          <w:divBdr>
            <w:top w:val="none" w:sz="0" w:space="0" w:color="auto"/>
            <w:left w:val="none" w:sz="0" w:space="0" w:color="auto"/>
            <w:bottom w:val="none" w:sz="0" w:space="0" w:color="auto"/>
            <w:right w:val="none" w:sz="0" w:space="0" w:color="auto"/>
          </w:divBdr>
        </w:div>
        <w:div w:id="436170833">
          <w:marLeft w:val="0"/>
          <w:marRight w:val="0"/>
          <w:marTop w:val="0"/>
          <w:marBottom w:val="0"/>
          <w:divBdr>
            <w:top w:val="none" w:sz="0" w:space="0" w:color="auto"/>
            <w:left w:val="none" w:sz="0" w:space="0" w:color="auto"/>
            <w:bottom w:val="none" w:sz="0" w:space="0" w:color="auto"/>
            <w:right w:val="none" w:sz="0" w:space="0" w:color="auto"/>
          </w:divBdr>
        </w:div>
        <w:div w:id="981081023">
          <w:marLeft w:val="0"/>
          <w:marRight w:val="0"/>
          <w:marTop w:val="0"/>
          <w:marBottom w:val="0"/>
          <w:divBdr>
            <w:top w:val="none" w:sz="0" w:space="0" w:color="auto"/>
            <w:left w:val="none" w:sz="0" w:space="0" w:color="auto"/>
            <w:bottom w:val="none" w:sz="0" w:space="0" w:color="auto"/>
            <w:right w:val="none" w:sz="0" w:space="0" w:color="auto"/>
          </w:divBdr>
        </w:div>
        <w:div w:id="2032536410">
          <w:marLeft w:val="0"/>
          <w:marRight w:val="0"/>
          <w:marTop w:val="0"/>
          <w:marBottom w:val="0"/>
          <w:divBdr>
            <w:top w:val="none" w:sz="0" w:space="0" w:color="auto"/>
            <w:left w:val="none" w:sz="0" w:space="0" w:color="auto"/>
            <w:bottom w:val="none" w:sz="0" w:space="0" w:color="auto"/>
            <w:right w:val="none" w:sz="0" w:space="0" w:color="auto"/>
          </w:divBdr>
        </w:div>
        <w:div w:id="1694719896">
          <w:marLeft w:val="0"/>
          <w:marRight w:val="0"/>
          <w:marTop w:val="0"/>
          <w:marBottom w:val="0"/>
          <w:divBdr>
            <w:top w:val="none" w:sz="0" w:space="0" w:color="auto"/>
            <w:left w:val="none" w:sz="0" w:space="0" w:color="auto"/>
            <w:bottom w:val="none" w:sz="0" w:space="0" w:color="auto"/>
            <w:right w:val="none" w:sz="0" w:space="0" w:color="auto"/>
          </w:divBdr>
        </w:div>
        <w:div w:id="1848791209">
          <w:marLeft w:val="0"/>
          <w:marRight w:val="0"/>
          <w:marTop w:val="0"/>
          <w:marBottom w:val="0"/>
          <w:divBdr>
            <w:top w:val="none" w:sz="0" w:space="0" w:color="auto"/>
            <w:left w:val="none" w:sz="0" w:space="0" w:color="auto"/>
            <w:bottom w:val="none" w:sz="0" w:space="0" w:color="auto"/>
            <w:right w:val="none" w:sz="0" w:space="0" w:color="auto"/>
          </w:divBdr>
        </w:div>
        <w:div w:id="1117334257">
          <w:marLeft w:val="0"/>
          <w:marRight w:val="0"/>
          <w:marTop w:val="0"/>
          <w:marBottom w:val="0"/>
          <w:divBdr>
            <w:top w:val="none" w:sz="0" w:space="0" w:color="auto"/>
            <w:left w:val="none" w:sz="0" w:space="0" w:color="auto"/>
            <w:bottom w:val="none" w:sz="0" w:space="0" w:color="auto"/>
            <w:right w:val="none" w:sz="0" w:space="0" w:color="auto"/>
          </w:divBdr>
        </w:div>
      </w:divsChild>
    </w:div>
    <w:div w:id="2039743432">
      <w:bodyDiv w:val="1"/>
      <w:marLeft w:val="0"/>
      <w:marRight w:val="0"/>
      <w:marTop w:val="0"/>
      <w:marBottom w:val="0"/>
      <w:divBdr>
        <w:top w:val="none" w:sz="0" w:space="0" w:color="auto"/>
        <w:left w:val="none" w:sz="0" w:space="0" w:color="auto"/>
        <w:bottom w:val="none" w:sz="0" w:space="0" w:color="auto"/>
        <w:right w:val="none" w:sz="0" w:space="0" w:color="auto"/>
      </w:divBdr>
      <w:divsChild>
        <w:div w:id="2107186208">
          <w:marLeft w:val="0"/>
          <w:marRight w:val="0"/>
          <w:marTop w:val="0"/>
          <w:marBottom w:val="0"/>
          <w:divBdr>
            <w:top w:val="none" w:sz="0" w:space="0" w:color="auto"/>
            <w:left w:val="none" w:sz="0" w:space="0" w:color="auto"/>
            <w:bottom w:val="none" w:sz="0" w:space="0" w:color="auto"/>
            <w:right w:val="none" w:sz="0" w:space="0" w:color="auto"/>
          </w:divBdr>
        </w:div>
        <w:div w:id="413934038">
          <w:marLeft w:val="0"/>
          <w:marRight w:val="0"/>
          <w:marTop w:val="0"/>
          <w:marBottom w:val="0"/>
          <w:divBdr>
            <w:top w:val="none" w:sz="0" w:space="0" w:color="auto"/>
            <w:left w:val="none" w:sz="0" w:space="0" w:color="auto"/>
            <w:bottom w:val="none" w:sz="0" w:space="0" w:color="auto"/>
            <w:right w:val="none" w:sz="0" w:space="0" w:color="auto"/>
          </w:divBdr>
        </w:div>
        <w:div w:id="435103168">
          <w:marLeft w:val="0"/>
          <w:marRight w:val="0"/>
          <w:marTop w:val="0"/>
          <w:marBottom w:val="0"/>
          <w:divBdr>
            <w:top w:val="none" w:sz="0" w:space="0" w:color="auto"/>
            <w:left w:val="none" w:sz="0" w:space="0" w:color="auto"/>
            <w:bottom w:val="none" w:sz="0" w:space="0" w:color="auto"/>
            <w:right w:val="none" w:sz="0" w:space="0" w:color="auto"/>
          </w:divBdr>
        </w:div>
        <w:div w:id="1368992118">
          <w:marLeft w:val="0"/>
          <w:marRight w:val="0"/>
          <w:marTop w:val="0"/>
          <w:marBottom w:val="0"/>
          <w:divBdr>
            <w:top w:val="none" w:sz="0" w:space="0" w:color="auto"/>
            <w:left w:val="none" w:sz="0" w:space="0" w:color="auto"/>
            <w:bottom w:val="none" w:sz="0" w:space="0" w:color="auto"/>
            <w:right w:val="none" w:sz="0" w:space="0" w:color="auto"/>
          </w:divBdr>
        </w:div>
        <w:div w:id="969163316">
          <w:marLeft w:val="0"/>
          <w:marRight w:val="0"/>
          <w:marTop w:val="0"/>
          <w:marBottom w:val="0"/>
          <w:divBdr>
            <w:top w:val="none" w:sz="0" w:space="0" w:color="auto"/>
            <w:left w:val="none" w:sz="0" w:space="0" w:color="auto"/>
            <w:bottom w:val="none" w:sz="0" w:space="0" w:color="auto"/>
            <w:right w:val="none" w:sz="0" w:space="0" w:color="auto"/>
          </w:divBdr>
        </w:div>
        <w:div w:id="1398089052">
          <w:marLeft w:val="0"/>
          <w:marRight w:val="0"/>
          <w:marTop w:val="0"/>
          <w:marBottom w:val="0"/>
          <w:divBdr>
            <w:top w:val="none" w:sz="0" w:space="0" w:color="auto"/>
            <w:left w:val="none" w:sz="0" w:space="0" w:color="auto"/>
            <w:bottom w:val="none" w:sz="0" w:space="0" w:color="auto"/>
            <w:right w:val="none" w:sz="0" w:space="0" w:color="auto"/>
          </w:divBdr>
        </w:div>
        <w:div w:id="1528372880">
          <w:marLeft w:val="0"/>
          <w:marRight w:val="0"/>
          <w:marTop w:val="0"/>
          <w:marBottom w:val="0"/>
          <w:divBdr>
            <w:top w:val="none" w:sz="0" w:space="0" w:color="auto"/>
            <w:left w:val="none" w:sz="0" w:space="0" w:color="auto"/>
            <w:bottom w:val="none" w:sz="0" w:space="0" w:color="auto"/>
            <w:right w:val="none" w:sz="0" w:space="0" w:color="auto"/>
          </w:divBdr>
        </w:div>
      </w:divsChild>
    </w:div>
    <w:div w:id="2044743947">
      <w:bodyDiv w:val="1"/>
      <w:marLeft w:val="0"/>
      <w:marRight w:val="0"/>
      <w:marTop w:val="0"/>
      <w:marBottom w:val="0"/>
      <w:divBdr>
        <w:top w:val="none" w:sz="0" w:space="0" w:color="auto"/>
        <w:left w:val="none" w:sz="0" w:space="0" w:color="auto"/>
        <w:bottom w:val="none" w:sz="0" w:space="0" w:color="auto"/>
        <w:right w:val="none" w:sz="0" w:space="0" w:color="auto"/>
      </w:divBdr>
      <w:divsChild>
        <w:div w:id="1425808701">
          <w:marLeft w:val="0"/>
          <w:marRight w:val="0"/>
          <w:marTop w:val="0"/>
          <w:marBottom w:val="0"/>
          <w:divBdr>
            <w:top w:val="none" w:sz="0" w:space="0" w:color="auto"/>
            <w:left w:val="none" w:sz="0" w:space="0" w:color="auto"/>
            <w:bottom w:val="none" w:sz="0" w:space="0" w:color="auto"/>
            <w:right w:val="none" w:sz="0" w:space="0" w:color="auto"/>
          </w:divBdr>
          <w:divsChild>
            <w:div w:id="431509205">
              <w:marLeft w:val="0"/>
              <w:marRight w:val="0"/>
              <w:marTop w:val="0"/>
              <w:marBottom w:val="0"/>
              <w:divBdr>
                <w:top w:val="none" w:sz="0" w:space="0" w:color="auto"/>
                <w:left w:val="none" w:sz="0" w:space="0" w:color="auto"/>
                <w:bottom w:val="none" w:sz="0" w:space="0" w:color="auto"/>
                <w:right w:val="none" w:sz="0" w:space="0" w:color="auto"/>
              </w:divBdr>
              <w:divsChild>
                <w:div w:id="246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236">
          <w:marLeft w:val="0"/>
          <w:marRight w:val="0"/>
          <w:marTop w:val="0"/>
          <w:marBottom w:val="0"/>
          <w:divBdr>
            <w:top w:val="none" w:sz="0" w:space="0" w:color="auto"/>
            <w:left w:val="none" w:sz="0" w:space="0" w:color="auto"/>
            <w:bottom w:val="none" w:sz="0" w:space="0" w:color="auto"/>
            <w:right w:val="none" w:sz="0" w:space="0" w:color="auto"/>
          </w:divBdr>
          <w:divsChild>
            <w:div w:id="355085864">
              <w:marLeft w:val="0"/>
              <w:marRight w:val="0"/>
              <w:marTop w:val="0"/>
              <w:marBottom w:val="0"/>
              <w:divBdr>
                <w:top w:val="none" w:sz="0" w:space="0" w:color="auto"/>
                <w:left w:val="none" w:sz="0" w:space="0" w:color="auto"/>
                <w:bottom w:val="none" w:sz="0" w:space="0" w:color="auto"/>
                <w:right w:val="none" w:sz="0" w:space="0" w:color="auto"/>
              </w:divBdr>
              <w:divsChild>
                <w:div w:id="1836726366">
                  <w:marLeft w:val="0"/>
                  <w:marRight w:val="0"/>
                  <w:marTop w:val="0"/>
                  <w:marBottom w:val="0"/>
                  <w:divBdr>
                    <w:top w:val="none" w:sz="0" w:space="0" w:color="auto"/>
                    <w:left w:val="none" w:sz="0" w:space="0" w:color="auto"/>
                    <w:bottom w:val="none" w:sz="0" w:space="0" w:color="auto"/>
                    <w:right w:val="none" w:sz="0" w:space="0" w:color="auto"/>
                  </w:divBdr>
                  <w:divsChild>
                    <w:div w:id="761342419">
                      <w:marLeft w:val="0"/>
                      <w:marRight w:val="0"/>
                      <w:marTop w:val="0"/>
                      <w:marBottom w:val="0"/>
                      <w:divBdr>
                        <w:top w:val="none" w:sz="0" w:space="0" w:color="auto"/>
                        <w:left w:val="none" w:sz="0" w:space="0" w:color="auto"/>
                        <w:bottom w:val="none" w:sz="0" w:space="0" w:color="auto"/>
                        <w:right w:val="none" w:sz="0" w:space="0" w:color="auto"/>
                      </w:divBdr>
                      <w:divsChild>
                        <w:div w:id="1072659869">
                          <w:marLeft w:val="0"/>
                          <w:marRight w:val="0"/>
                          <w:marTop w:val="0"/>
                          <w:marBottom w:val="0"/>
                          <w:divBdr>
                            <w:top w:val="none" w:sz="0" w:space="0" w:color="auto"/>
                            <w:left w:val="none" w:sz="0" w:space="0" w:color="auto"/>
                            <w:bottom w:val="none" w:sz="0" w:space="0" w:color="auto"/>
                            <w:right w:val="none" w:sz="0" w:space="0" w:color="auto"/>
                          </w:divBdr>
                        </w:div>
                      </w:divsChild>
                    </w:div>
                    <w:div w:id="937785969">
                      <w:marLeft w:val="0"/>
                      <w:marRight w:val="0"/>
                      <w:marTop w:val="0"/>
                      <w:marBottom w:val="0"/>
                      <w:divBdr>
                        <w:top w:val="none" w:sz="0" w:space="0" w:color="auto"/>
                        <w:left w:val="none" w:sz="0" w:space="0" w:color="auto"/>
                        <w:bottom w:val="none" w:sz="0" w:space="0" w:color="auto"/>
                        <w:right w:val="none" w:sz="0" w:space="0" w:color="auto"/>
                      </w:divBdr>
                      <w:divsChild>
                        <w:div w:id="177430683">
                          <w:marLeft w:val="0"/>
                          <w:marRight w:val="0"/>
                          <w:marTop w:val="0"/>
                          <w:marBottom w:val="0"/>
                          <w:divBdr>
                            <w:top w:val="none" w:sz="0" w:space="0" w:color="auto"/>
                            <w:left w:val="none" w:sz="0" w:space="0" w:color="auto"/>
                            <w:bottom w:val="none" w:sz="0" w:space="0" w:color="auto"/>
                            <w:right w:val="none" w:sz="0" w:space="0" w:color="auto"/>
                          </w:divBdr>
                          <w:divsChild>
                            <w:div w:id="195388610">
                              <w:marLeft w:val="0"/>
                              <w:marRight w:val="0"/>
                              <w:marTop w:val="0"/>
                              <w:marBottom w:val="0"/>
                              <w:divBdr>
                                <w:top w:val="none" w:sz="0" w:space="0" w:color="auto"/>
                                <w:left w:val="none" w:sz="0" w:space="0" w:color="auto"/>
                                <w:bottom w:val="none" w:sz="0" w:space="0" w:color="auto"/>
                                <w:right w:val="none" w:sz="0" w:space="0" w:color="auto"/>
                              </w:divBdr>
                              <w:divsChild>
                                <w:div w:id="46227947">
                                  <w:marLeft w:val="0"/>
                                  <w:marRight w:val="0"/>
                                  <w:marTop w:val="0"/>
                                  <w:marBottom w:val="0"/>
                                  <w:divBdr>
                                    <w:top w:val="none" w:sz="0" w:space="0" w:color="auto"/>
                                    <w:left w:val="none" w:sz="0" w:space="0" w:color="auto"/>
                                    <w:bottom w:val="none" w:sz="0" w:space="0" w:color="auto"/>
                                    <w:right w:val="none" w:sz="0" w:space="0" w:color="auto"/>
                                  </w:divBdr>
                                  <w:divsChild>
                                    <w:div w:id="1370060333">
                                      <w:marLeft w:val="0"/>
                                      <w:marRight w:val="0"/>
                                      <w:marTop w:val="0"/>
                                      <w:marBottom w:val="0"/>
                                      <w:divBdr>
                                        <w:top w:val="none" w:sz="0" w:space="0" w:color="auto"/>
                                        <w:left w:val="none" w:sz="0" w:space="0" w:color="auto"/>
                                        <w:bottom w:val="none" w:sz="0" w:space="0" w:color="auto"/>
                                        <w:right w:val="none" w:sz="0" w:space="0" w:color="auto"/>
                                      </w:divBdr>
                                    </w:div>
                                    <w:div w:id="880481384">
                                      <w:marLeft w:val="0"/>
                                      <w:marRight w:val="0"/>
                                      <w:marTop w:val="0"/>
                                      <w:marBottom w:val="0"/>
                                      <w:divBdr>
                                        <w:top w:val="none" w:sz="0" w:space="0" w:color="auto"/>
                                        <w:left w:val="none" w:sz="0" w:space="0" w:color="auto"/>
                                        <w:bottom w:val="none" w:sz="0" w:space="0" w:color="auto"/>
                                        <w:right w:val="none" w:sz="0" w:space="0" w:color="auto"/>
                                      </w:divBdr>
                                    </w:div>
                                    <w:div w:id="2002848562">
                                      <w:marLeft w:val="0"/>
                                      <w:marRight w:val="0"/>
                                      <w:marTop w:val="0"/>
                                      <w:marBottom w:val="0"/>
                                      <w:divBdr>
                                        <w:top w:val="none" w:sz="0" w:space="0" w:color="auto"/>
                                        <w:left w:val="none" w:sz="0" w:space="0" w:color="auto"/>
                                        <w:bottom w:val="none" w:sz="0" w:space="0" w:color="auto"/>
                                        <w:right w:val="none" w:sz="0" w:space="0" w:color="auto"/>
                                      </w:divBdr>
                                    </w:div>
                                    <w:div w:id="914557269">
                                      <w:marLeft w:val="0"/>
                                      <w:marRight w:val="0"/>
                                      <w:marTop w:val="0"/>
                                      <w:marBottom w:val="0"/>
                                      <w:divBdr>
                                        <w:top w:val="none" w:sz="0" w:space="0" w:color="auto"/>
                                        <w:left w:val="none" w:sz="0" w:space="0" w:color="auto"/>
                                        <w:bottom w:val="none" w:sz="0" w:space="0" w:color="auto"/>
                                        <w:right w:val="none" w:sz="0" w:space="0" w:color="auto"/>
                                      </w:divBdr>
                                    </w:div>
                                    <w:div w:id="339695335">
                                      <w:marLeft w:val="0"/>
                                      <w:marRight w:val="0"/>
                                      <w:marTop w:val="0"/>
                                      <w:marBottom w:val="0"/>
                                      <w:divBdr>
                                        <w:top w:val="none" w:sz="0" w:space="0" w:color="auto"/>
                                        <w:left w:val="none" w:sz="0" w:space="0" w:color="auto"/>
                                        <w:bottom w:val="none" w:sz="0" w:space="0" w:color="auto"/>
                                        <w:right w:val="none" w:sz="0" w:space="0" w:color="auto"/>
                                      </w:divBdr>
                                    </w:div>
                                    <w:div w:id="1874997248">
                                      <w:marLeft w:val="0"/>
                                      <w:marRight w:val="0"/>
                                      <w:marTop w:val="0"/>
                                      <w:marBottom w:val="0"/>
                                      <w:divBdr>
                                        <w:top w:val="none" w:sz="0" w:space="0" w:color="auto"/>
                                        <w:left w:val="none" w:sz="0" w:space="0" w:color="auto"/>
                                        <w:bottom w:val="none" w:sz="0" w:space="0" w:color="auto"/>
                                        <w:right w:val="none" w:sz="0" w:space="0" w:color="auto"/>
                                      </w:divBdr>
                                    </w:div>
                                    <w:div w:id="1230191320">
                                      <w:marLeft w:val="0"/>
                                      <w:marRight w:val="0"/>
                                      <w:marTop w:val="0"/>
                                      <w:marBottom w:val="0"/>
                                      <w:divBdr>
                                        <w:top w:val="none" w:sz="0" w:space="0" w:color="auto"/>
                                        <w:left w:val="none" w:sz="0" w:space="0" w:color="auto"/>
                                        <w:bottom w:val="none" w:sz="0" w:space="0" w:color="auto"/>
                                        <w:right w:val="none" w:sz="0" w:space="0" w:color="auto"/>
                                      </w:divBdr>
                                    </w:div>
                                    <w:div w:id="386538553">
                                      <w:marLeft w:val="0"/>
                                      <w:marRight w:val="0"/>
                                      <w:marTop w:val="0"/>
                                      <w:marBottom w:val="0"/>
                                      <w:divBdr>
                                        <w:top w:val="none" w:sz="0" w:space="0" w:color="auto"/>
                                        <w:left w:val="none" w:sz="0" w:space="0" w:color="auto"/>
                                        <w:bottom w:val="none" w:sz="0" w:space="0" w:color="auto"/>
                                        <w:right w:val="none" w:sz="0" w:space="0" w:color="auto"/>
                                      </w:divBdr>
                                    </w:div>
                                    <w:div w:id="1319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732489">
      <w:bodyDiv w:val="1"/>
      <w:marLeft w:val="0"/>
      <w:marRight w:val="0"/>
      <w:marTop w:val="0"/>
      <w:marBottom w:val="0"/>
      <w:divBdr>
        <w:top w:val="none" w:sz="0" w:space="0" w:color="auto"/>
        <w:left w:val="none" w:sz="0" w:space="0" w:color="auto"/>
        <w:bottom w:val="none" w:sz="0" w:space="0" w:color="auto"/>
        <w:right w:val="none" w:sz="0" w:space="0" w:color="auto"/>
      </w:divBdr>
      <w:divsChild>
        <w:div w:id="313489651">
          <w:marLeft w:val="0"/>
          <w:marRight w:val="0"/>
          <w:marTop w:val="0"/>
          <w:marBottom w:val="0"/>
          <w:divBdr>
            <w:top w:val="none" w:sz="0" w:space="0" w:color="auto"/>
            <w:left w:val="none" w:sz="0" w:space="0" w:color="auto"/>
            <w:bottom w:val="none" w:sz="0" w:space="0" w:color="auto"/>
            <w:right w:val="none" w:sz="0" w:space="0" w:color="auto"/>
          </w:divBdr>
        </w:div>
        <w:div w:id="846361743">
          <w:marLeft w:val="0"/>
          <w:marRight w:val="0"/>
          <w:marTop w:val="0"/>
          <w:marBottom w:val="0"/>
          <w:divBdr>
            <w:top w:val="none" w:sz="0" w:space="0" w:color="auto"/>
            <w:left w:val="none" w:sz="0" w:space="0" w:color="auto"/>
            <w:bottom w:val="none" w:sz="0" w:space="0" w:color="auto"/>
            <w:right w:val="none" w:sz="0" w:space="0" w:color="auto"/>
          </w:divBdr>
        </w:div>
        <w:div w:id="2129816362">
          <w:marLeft w:val="0"/>
          <w:marRight w:val="0"/>
          <w:marTop w:val="0"/>
          <w:marBottom w:val="0"/>
          <w:divBdr>
            <w:top w:val="none" w:sz="0" w:space="0" w:color="auto"/>
            <w:left w:val="none" w:sz="0" w:space="0" w:color="auto"/>
            <w:bottom w:val="none" w:sz="0" w:space="0" w:color="auto"/>
            <w:right w:val="none" w:sz="0" w:space="0" w:color="auto"/>
          </w:divBdr>
        </w:div>
        <w:div w:id="1324353439">
          <w:marLeft w:val="0"/>
          <w:marRight w:val="0"/>
          <w:marTop w:val="0"/>
          <w:marBottom w:val="0"/>
          <w:divBdr>
            <w:top w:val="none" w:sz="0" w:space="0" w:color="auto"/>
            <w:left w:val="none" w:sz="0" w:space="0" w:color="auto"/>
            <w:bottom w:val="none" w:sz="0" w:space="0" w:color="auto"/>
            <w:right w:val="none" w:sz="0" w:space="0" w:color="auto"/>
          </w:divBdr>
        </w:div>
        <w:div w:id="809788781">
          <w:marLeft w:val="0"/>
          <w:marRight w:val="0"/>
          <w:marTop w:val="0"/>
          <w:marBottom w:val="0"/>
          <w:divBdr>
            <w:top w:val="none" w:sz="0" w:space="0" w:color="auto"/>
            <w:left w:val="none" w:sz="0" w:space="0" w:color="auto"/>
            <w:bottom w:val="none" w:sz="0" w:space="0" w:color="auto"/>
            <w:right w:val="none" w:sz="0" w:space="0" w:color="auto"/>
          </w:divBdr>
        </w:div>
        <w:div w:id="918707845">
          <w:marLeft w:val="0"/>
          <w:marRight w:val="0"/>
          <w:marTop w:val="0"/>
          <w:marBottom w:val="0"/>
          <w:divBdr>
            <w:top w:val="none" w:sz="0" w:space="0" w:color="auto"/>
            <w:left w:val="none" w:sz="0" w:space="0" w:color="auto"/>
            <w:bottom w:val="none" w:sz="0" w:space="0" w:color="auto"/>
            <w:right w:val="none" w:sz="0" w:space="0" w:color="auto"/>
          </w:divBdr>
        </w:div>
        <w:div w:id="2026126492">
          <w:marLeft w:val="0"/>
          <w:marRight w:val="0"/>
          <w:marTop w:val="0"/>
          <w:marBottom w:val="0"/>
          <w:divBdr>
            <w:top w:val="none" w:sz="0" w:space="0" w:color="auto"/>
            <w:left w:val="none" w:sz="0" w:space="0" w:color="auto"/>
            <w:bottom w:val="none" w:sz="0" w:space="0" w:color="auto"/>
            <w:right w:val="none" w:sz="0" w:space="0" w:color="auto"/>
          </w:divBdr>
        </w:div>
        <w:div w:id="1075326180">
          <w:marLeft w:val="0"/>
          <w:marRight w:val="0"/>
          <w:marTop w:val="0"/>
          <w:marBottom w:val="0"/>
          <w:divBdr>
            <w:top w:val="none" w:sz="0" w:space="0" w:color="auto"/>
            <w:left w:val="none" w:sz="0" w:space="0" w:color="auto"/>
            <w:bottom w:val="none" w:sz="0" w:space="0" w:color="auto"/>
            <w:right w:val="none" w:sz="0" w:space="0" w:color="auto"/>
          </w:divBdr>
        </w:div>
        <w:div w:id="1048457049">
          <w:marLeft w:val="0"/>
          <w:marRight w:val="0"/>
          <w:marTop w:val="0"/>
          <w:marBottom w:val="0"/>
          <w:divBdr>
            <w:top w:val="none" w:sz="0" w:space="0" w:color="auto"/>
            <w:left w:val="none" w:sz="0" w:space="0" w:color="auto"/>
            <w:bottom w:val="none" w:sz="0" w:space="0" w:color="auto"/>
            <w:right w:val="none" w:sz="0" w:space="0" w:color="auto"/>
          </w:divBdr>
        </w:div>
      </w:divsChild>
    </w:div>
    <w:div w:id="2140368992">
      <w:bodyDiv w:val="1"/>
      <w:marLeft w:val="0"/>
      <w:marRight w:val="0"/>
      <w:marTop w:val="0"/>
      <w:marBottom w:val="0"/>
      <w:divBdr>
        <w:top w:val="none" w:sz="0" w:space="0" w:color="auto"/>
        <w:left w:val="none" w:sz="0" w:space="0" w:color="auto"/>
        <w:bottom w:val="none" w:sz="0" w:space="0" w:color="auto"/>
        <w:right w:val="none" w:sz="0" w:space="0" w:color="auto"/>
      </w:divBdr>
      <w:divsChild>
        <w:div w:id="497959745">
          <w:marLeft w:val="0"/>
          <w:marRight w:val="0"/>
          <w:marTop w:val="0"/>
          <w:marBottom w:val="0"/>
          <w:divBdr>
            <w:top w:val="none" w:sz="0" w:space="0" w:color="auto"/>
            <w:left w:val="none" w:sz="0" w:space="0" w:color="auto"/>
            <w:bottom w:val="none" w:sz="0" w:space="0" w:color="auto"/>
            <w:right w:val="none" w:sz="0" w:space="0" w:color="auto"/>
          </w:divBdr>
          <w:divsChild>
            <w:div w:id="801923273">
              <w:marLeft w:val="0"/>
              <w:marRight w:val="0"/>
              <w:marTop w:val="0"/>
              <w:marBottom w:val="0"/>
              <w:divBdr>
                <w:top w:val="none" w:sz="0" w:space="0" w:color="auto"/>
                <w:left w:val="none" w:sz="0" w:space="0" w:color="auto"/>
                <w:bottom w:val="none" w:sz="0" w:space="0" w:color="auto"/>
                <w:right w:val="none" w:sz="0" w:space="0" w:color="auto"/>
              </w:divBdr>
              <w:divsChild>
                <w:div w:id="1272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377">
          <w:marLeft w:val="0"/>
          <w:marRight w:val="0"/>
          <w:marTop w:val="0"/>
          <w:marBottom w:val="0"/>
          <w:divBdr>
            <w:top w:val="none" w:sz="0" w:space="0" w:color="auto"/>
            <w:left w:val="none" w:sz="0" w:space="0" w:color="auto"/>
            <w:bottom w:val="none" w:sz="0" w:space="0" w:color="auto"/>
            <w:right w:val="none" w:sz="0" w:space="0" w:color="auto"/>
          </w:divBdr>
          <w:divsChild>
            <w:div w:id="1066146524">
              <w:marLeft w:val="0"/>
              <w:marRight w:val="0"/>
              <w:marTop w:val="0"/>
              <w:marBottom w:val="0"/>
              <w:divBdr>
                <w:top w:val="none" w:sz="0" w:space="0" w:color="auto"/>
                <w:left w:val="none" w:sz="0" w:space="0" w:color="auto"/>
                <w:bottom w:val="none" w:sz="0" w:space="0" w:color="auto"/>
                <w:right w:val="none" w:sz="0" w:space="0" w:color="auto"/>
              </w:divBdr>
              <w:divsChild>
                <w:div w:id="1300378529">
                  <w:marLeft w:val="0"/>
                  <w:marRight w:val="0"/>
                  <w:marTop w:val="0"/>
                  <w:marBottom w:val="0"/>
                  <w:divBdr>
                    <w:top w:val="none" w:sz="0" w:space="0" w:color="auto"/>
                    <w:left w:val="none" w:sz="0" w:space="0" w:color="auto"/>
                    <w:bottom w:val="none" w:sz="0" w:space="0" w:color="auto"/>
                    <w:right w:val="none" w:sz="0" w:space="0" w:color="auto"/>
                  </w:divBdr>
                  <w:divsChild>
                    <w:div w:id="1646813895">
                      <w:marLeft w:val="0"/>
                      <w:marRight w:val="0"/>
                      <w:marTop w:val="0"/>
                      <w:marBottom w:val="0"/>
                      <w:divBdr>
                        <w:top w:val="none" w:sz="0" w:space="0" w:color="auto"/>
                        <w:left w:val="none" w:sz="0" w:space="0" w:color="auto"/>
                        <w:bottom w:val="none" w:sz="0" w:space="0" w:color="auto"/>
                        <w:right w:val="none" w:sz="0" w:space="0" w:color="auto"/>
                      </w:divBdr>
                      <w:divsChild>
                        <w:div w:id="641152190">
                          <w:marLeft w:val="0"/>
                          <w:marRight w:val="0"/>
                          <w:marTop w:val="0"/>
                          <w:marBottom w:val="0"/>
                          <w:divBdr>
                            <w:top w:val="none" w:sz="0" w:space="0" w:color="auto"/>
                            <w:left w:val="none" w:sz="0" w:space="0" w:color="auto"/>
                            <w:bottom w:val="none" w:sz="0" w:space="0" w:color="auto"/>
                            <w:right w:val="none" w:sz="0" w:space="0" w:color="auto"/>
                          </w:divBdr>
                        </w:div>
                      </w:divsChild>
                    </w:div>
                    <w:div w:id="915631887">
                      <w:marLeft w:val="0"/>
                      <w:marRight w:val="0"/>
                      <w:marTop w:val="0"/>
                      <w:marBottom w:val="0"/>
                      <w:divBdr>
                        <w:top w:val="none" w:sz="0" w:space="0" w:color="auto"/>
                        <w:left w:val="none" w:sz="0" w:space="0" w:color="auto"/>
                        <w:bottom w:val="none" w:sz="0" w:space="0" w:color="auto"/>
                        <w:right w:val="none" w:sz="0" w:space="0" w:color="auto"/>
                      </w:divBdr>
                      <w:divsChild>
                        <w:div w:id="1403065170">
                          <w:marLeft w:val="0"/>
                          <w:marRight w:val="0"/>
                          <w:marTop w:val="0"/>
                          <w:marBottom w:val="0"/>
                          <w:divBdr>
                            <w:top w:val="none" w:sz="0" w:space="0" w:color="auto"/>
                            <w:left w:val="none" w:sz="0" w:space="0" w:color="auto"/>
                            <w:bottom w:val="none" w:sz="0" w:space="0" w:color="auto"/>
                            <w:right w:val="none" w:sz="0" w:space="0" w:color="auto"/>
                          </w:divBdr>
                          <w:divsChild>
                            <w:div w:id="1707560314">
                              <w:marLeft w:val="0"/>
                              <w:marRight w:val="0"/>
                              <w:marTop w:val="0"/>
                              <w:marBottom w:val="0"/>
                              <w:divBdr>
                                <w:top w:val="none" w:sz="0" w:space="0" w:color="auto"/>
                                <w:left w:val="none" w:sz="0" w:space="0" w:color="auto"/>
                                <w:bottom w:val="none" w:sz="0" w:space="0" w:color="auto"/>
                                <w:right w:val="none" w:sz="0" w:space="0" w:color="auto"/>
                              </w:divBdr>
                              <w:divsChild>
                                <w:div w:id="1444881370">
                                  <w:marLeft w:val="0"/>
                                  <w:marRight w:val="0"/>
                                  <w:marTop w:val="0"/>
                                  <w:marBottom w:val="0"/>
                                  <w:divBdr>
                                    <w:top w:val="none" w:sz="0" w:space="0" w:color="auto"/>
                                    <w:left w:val="none" w:sz="0" w:space="0" w:color="auto"/>
                                    <w:bottom w:val="none" w:sz="0" w:space="0" w:color="auto"/>
                                    <w:right w:val="none" w:sz="0" w:space="0" w:color="auto"/>
                                  </w:divBdr>
                                  <w:divsChild>
                                    <w:div w:id="1933128728">
                                      <w:marLeft w:val="0"/>
                                      <w:marRight w:val="0"/>
                                      <w:marTop w:val="0"/>
                                      <w:marBottom w:val="0"/>
                                      <w:divBdr>
                                        <w:top w:val="none" w:sz="0" w:space="0" w:color="auto"/>
                                        <w:left w:val="none" w:sz="0" w:space="0" w:color="auto"/>
                                        <w:bottom w:val="none" w:sz="0" w:space="0" w:color="auto"/>
                                        <w:right w:val="none" w:sz="0" w:space="0" w:color="auto"/>
                                      </w:divBdr>
                                    </w:div>
                                    <w:div w:id="27338228">
                                      <w:marLeft w:val="0"/>
                                      <w:marRight w:val="0"/>
                                      <w:marTop w:val="0"/>
                                      <w:marBottom w:val="0"/>
                                      <w:divBdr>
                                        <w:top w:val="none" w:sz="0" w:space="0" w:color="auto"/>
                                        <w:left w:val="none" w:sz="0" w:space="0" w:color="auto"/>
                                        <w:bottom w:val="none" w:sz="0" w:space="0" w:color="auto"/>
                                        <w:right w:val="none" w:sz="0" w:space="0" w:color="auto"/>
                                      </w:divBdr>
                                    </w:div>
                                    <w:div w:id="1448701047">
                                      <w:marLeft w:val="0"/>
                                      <w:marRight w:val="0"/>
                                      <w:marTop w:val="0"/>
                                      <w:marBottom w:val="0"/>
                                      <w:divBdr>
                                        <w:top w:val="none" w:sz="0" w:space="0" w:color="auto"/>
                                        <w:left w:val="none" w:sz="0" w:space="0" w:color="auto"/>
                                        <w:bottom w:val="none" w:sz="0" w:space="0" w:color="auto"/>
                                        <w:right w:val="none" w:sz="0" w:space="0" w:color="auto"/>
                                      </w:divBdr>
                                    </w:div>
                                    <w:div w:id="1179008405">
                                      <w:marLeft w:val="0"/>
                                      <w:marRight w:val="0"/>
                                      <w:marTop w:val="0"/>
                                      <w:marBottom w:val="0"/>
                                      <w:divBdr>
                                        <w:top w:val="none" w:sz="0" w:space="0" w:color="auto"/>
                                        <w:left w:val="none" w:sz="0" w:space="0" w:color="auto"/>
                                        <w:bottom w:val="none" w:sz="0" w:space="0" w:color="auto"/>
                                        <w:right w:val="none" w:sz="0" w:space="0" w:color="auto"/>
                                      </w:divBdr>
                                    </w:div>
                                    <w:div w:id="2102988545">
                                      <w:marLeft w:val="0"/>
                                      <w:marRight w:val="0"/>
                                      <w:marTop w:val="0"/>
                                      <w:marBottom w:val="0"/>
                                      <w:divBdr>
                                        <w:top w:val="none" w:sz="0" w:space="0" w:color="auto"/>
                                        <w:left w:val="none" w:sz="0" w:space="0" w:color="auto"/>
                                        <w:bottom w:val="none" w:sz="0" w:space="0" w:color="auto"/>
                                        <w:right w:val="none" w:sz="0" w:space="0" w:color="auto"/>
                                      </w:divBdr>
                                    </w:div>
                                    <w:div w:id="15625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17</Pages>
  <Words>3011</Words>
  <Characters>17166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Varsha</dc:creator>
  <cp:keywords/>
  <dc:description/>
  <cp:lastModifiedBy>R, Varsha</cp:lastModifiedBy>
  <cp:revision>1</cp:revision>
  <dcterms:created xsi:type="dcterms:W3CDTF">2025-03-25T14:49:00Z</dcterms:created>
  <dcterms:modified xsi:type="dcterms:W3CDTF">2025-03-26T02:21:00Z</dcterms:modified>
</cp:coreProperties>
</file>