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6B549" w14:textId="77777777" w:rsidR="00BB3A1D" w:rsidRDefault="00BB3A1D" w:rsidP="00C567E5">
      <w:pPr>
        <w:rPr>
          <w:b/>
          <w:bCs/>
        </w:rPr>
      </w:pPr>
      <w:r>
        <w:rPr>
          <w:b/>
          <w:bCs/>
        </w:rPr>
        <w:t>EPS Summary:</w:t>
      </w:r>
    </w:p>
    <w:p w14:paraId="3EE1CB0E" w14:textId="1A8CD792" w:rsidR="00C567E5" w:rsidRPr="00C567E5" w:rsidRDefault="00C567E5" w:rsidP="00C567E5">
      <w:pPr>
        <w:rPr>
          <w:b/>
          <w:bCs/>
        </w:rPr>
      </w:pPr>
      <w:r w:rsidRPr="00C567E5">
        <w:rPr>
          <w:b/>
          <w:bCs/>
        </w:rPr>
        <w:t>FY21</w:t>
      </w:r>
    </w:p>
    <w:p w14:paraId="4A16DB0E" w14:textId="1DCFC09B" w:rsidR="00C567E5" w:rsidRPr="00C567E5" w:rsidRDefault="00C567E5" w:rsidP="00C567E5">
      <w:pPr>
        <w:numPr>
          <w:ilvl w:val="0"/>
          <w:numId w:val="13"/>
        </w:numPr>
        <w:rPr>
          <w:b/>
          <w:bCs/>
        </w:rPr>
      </w:pPr>
      <w:r w:rsidRPr="00C567E5">
        <w:rPr>
          <w:b/>
          <w:bCs/>
        </w:rPr>
        <w:t>Increase: NVIDIA's EPS rose significantly due to record revenue driven by strong demand in its Gaming and Data Center segments. The launch of the GeForce RTX 30 Series GPUs and the growth in AI and data center applications were major contributors</w:t>
      </w:r>
    </w:p>
    <w:p w14:paraId="69DE763C" w14:textId="77777777" w:rsidR="00C567E5" w:rsidRPr="00C567E5" w:rsidRDefault="00C567E5" w:rsidP="00C567E5">
      <w:pPr>
        <w:rPr>
          <w:b/>
          <w:bCs/>
        </w:rPr>
      </w:pPr>
      <w:r w:rsidRPr="00C567E5">
        <w:rPr>
          <w:b/>
          <w:bCs/>
        </w:rPr>
        <w:t>FY22</w:t>
      </w:r>
    </w:p>
    <w:p w14:paraId="775F7E9F" w14:textId="08EF611C" w:rsidR="00C567E5" w:rsidRPr="00C567E5" w:rsidRDefault="00C567E5" w:rsidP="00C567E5">
      <w:pPr>
        <w:numPr>
          <w:ilvl w:val="0"/>
          <w:numId w:val="14"/>
        </w:numPr>
        <w:rPr>
          <w:b/>
          <w:bCs/>
        </w:rPr>
      </w:pPr>
      <w:r w:rsidRPr="00C567E5">
        <w:rPr>
          <w:b/>
          <w:bCs/>
        </w:rPr>
        <w:t xml:space="preserve">Increase: The EPS continued to grow, fueled by exceptional demand for NVIDIA's computing platforms across various sectors, including AI, gaming, and autonomous vehicles. The company's revenue hit new </w:t>
      </w:r>
      <w:r w:rsidR="00AB5595" w:rsidRPr="00C567E5">
        <w:rPr>
          <w:b/>
          <w:bCs/>
        </w:rPr>
        <w:t>heights</w:t>
      </w:r>
      <w:r w:rsidRPr="00C567E5">
        <w:rPr>
          <w:b/>
          <w:bCs/>
        </w:rPr>
        <w:t>, supported by its robust product lineup and strategic acquisitions</w:t>
      </w:r>
    </w:p>
    <w:p w14:paraId="25898416" w14:textId="77777777" w:rsidR="00C567E5" w:rsidRPr="00C567E5" w:rsidRDefault="00C567E5" w:rsidP="00C567E5">
      <w:pPr>
        <w:rPr>
          <w:b/>
          <w:bCs/>
        </w:rPr>
      </w:pPr>
      <w:r w:rsidRPr="00C567E5">
        <w:rPr>
          <w:b/>
          <w:bCs/>
        </w:rPr>
        <w:t>FY23</w:t>
      </w:r>
    </w:p>
    <w:p w14:paraId="78D40ACE" w14:textId="4F57C1A0" w:rsidR="00C567E5" w:rsidRPr="00C567E5" w:rsidRDefault="00C567E5" w:rsidP="00C567E5">
      <w:pPr>
        <w:numPr>
          <w:ilvl w:val="0"/>
          <w:numId w:val="15"/>
        </w:numPr>
        <w:rPr>
          <w:b/>
          <w:bCs/>
        </w:rPr>
      </w:pPr>
      <w:r w:rsidRPr="00C567E5">
        <w:rPr>
          <w:b/>
          <w:bCs/>
        </w:rPr>
        <w:t>Decrease: The EPS saw a decline primarily due to a slowdown in the gaming market post-pandemic and challenges in the broader semiconductor industry. Despite flat revenue, increased operating expenses and a dip in gaming demand impacted profitability</w:t>
      </w:r>
    </w:p>
    <w:p w14:paraId="79AF695C" w14:textId="77777777" w:rsidR="00C567E5" w:rsidRPr="00C567E5" w:rsidRDefault="00C567E5" w:rsidP="00C567E5">
      <w:pPr>
        <w:rPr>
          <w:b/>
          <w:bCs/>
        </w:rPr>
      </w:pPr>
      <w:r w:rsidRPr="00C567E5">
        <w:rPr>
          <w:b/>
          <w:bCs/>
        </w:rPr>
        <w:t>FY24</w:t>
      </w:r>
    </w:p>
    <w:p w14:paraId="5969D73F" w14:textId="77777777" w:rsidR="00C567E5" w:rsidRPr="00C567E5" w:rsidRDefault="00C567E5" w:rsidP="00C567E5">
      <w:pPr>
        <w:numPr>
          <w:ilvl w:val="0"/>
          <w:numId w:val="16"/>
        </w:numPr>
        <w:rPr>
          <w:b/>
          <w:bCs/>
        </w:rPr>
      </w:pPr>
      <w:r w:rsidRPr="00C567E5">
        <w:rPr>
          <w:b/>
          <w:bCs/>
        </w:rPr>
        <w:t>Increase: A dramatic surge in EPS was observed, driven by explosive growth in the Data Center segment, which saw a 217% increase in revenue. The widespread adoption of NVIDIA's AI and data processing solutions across various industries, along with new product launches, significantly boosted earnings</w:t>
      </w:r>
    </w:p>
    <w:p w14:paraId="2377D2FD" w14:textId="77777777" w:rsidR="00C567E5" w:rsidRDefault="00C567E5">
      <w:pPr>
        <w:rPr>
          <w:b/>
          <w:bCs/>
        </w:rPr>
      </w:pPr>
    </w:p>
    <w:p w14:paraId="7F06FA52" w14:textId="77777777" w:rsidR="00C567E5" w:rsidRDefault="00C567E5">
      <w:pPr>
        <w:rPr>
          <w:b/>
          <w:bCs/>
        </w:rPr>
      </w:pPr>
    </w:p>
    <w:p w14:paraId="1C13FEBB" w14:textId="77777777" w:rsidR="00C567E5" w:rsidRDefault="00C567E5">
      <w:pPr>
        <w:rPr>
          <w:b/>
          <w:bCs/>
        </w:rPr>
      </w:pPr>
    </w:p>
    <w:p w14:paraId="57C96BF5" w14:textId="77777777" w:rsidR="00C567E5" w:rsidRDefault="00C567E5">
      <w:pPr>
        <w:rPr>
          <w:b/>
          <w:bCs/>
        </w:rPr>
      </w:pPr>
    </w:p>
    <w:p w14:paraId="4FD78A70" w14:textId="77777777" w:rsidR="00C567E5" w:rsidRDefault="00C567E5">
      <w:pPr>
        <w:rPr>
          <w:b/>
          <w:bCs/>
        </w:rPr>
      </w:pPr>
    </w:p>
    <w:p w14:paraId="6EE8A627" w14:textId="77777777" w:rsidR="00C310F7" w:rsidRDefault="00C310F7">
      <w:pPr>
        <w:rPr>
          <w:b/>
          <w:bCs/>
        </w:rPr>
      </w:pPr>
    </w:p>
    <w:p w14:paraId="6A2B4B12" w14:textId="77777777" w:rsidR="00C310F7" w:rsidRDefault="00C310F7">
      <w:pPr>
        <w:rPr>
          <w:b/>
          <w:bCs/>
        </w:rPr>
      </w:pPr>
    </w:p>
    <w:p w14:paraId="0BFC13D2" w14:textId="77777777" w:rsidR="00C310F7" w:rsidRDefault="00C310F7">
      <w:pPr>
        <w:rPr>
          <w:b/>
          <w:bCs/>
        </w:rPr>
      </w:pPr>
    </w:p>
    <w:p w14:paraId="3730CA65" w14:textId="77777777" w:rsidR="00C310F7" w:rsidRDefault="00C310F7">
      <w:pPr>
        <w:rPr>
          <w:b/>
          <w:bCs/>
        </w:rPr>
      </w:pPr>
    </w:p>
    <w:p w14:paraId="2B722119" w14:textId="77777777" w:rsidR="00C310F7" w:rsidRDefault="00C310F7">
      <w:pPr>
        <w:rPr>
          <w:b/>
          <w:bCs/>
        </w:rPr>
      </w:pPr>
    </w:p>
    <w:p w14:paraId="62BAE7AF" w14:textId="77777777" w:rsidR="00C310F7" w:rsidRDefault="00C310F7">
      <w:pPr>
        <w:rPr>
          <w:b/>
          <w:bCs/>
        </w:rPr>
      </w:pPr>
    </w:p>
    <w:p w14:paraId="214824B7" w14:textId="77777777" w:rsidR="00C310F7" w:rsidRDefault="00C310F7">
      <w:pPr>
        <w:rPr>
          <w:b/>
          <w:bCs/>
        </w:rPr>
      </w:pPr>
    </w:p>
    <w:p w14:paraId="2E7D0555" w14:textId="77777777" w:rsidR="00C310F7" w:rsidRDefault="00C310F7">
      <w:pPr>
        <w:rPr>
          <w:b/>
          <w:bCs/>
        </w:rPr>
      </w:pPr>
    </w:p>
    <w:p w14:paraId="4416B79B" w14:textId="3BCD8DBD" w:rsidR="00C310F7" w:rsidRDefault="00BB3A1D">
      <w:pPr>
        <w:rPr>
          <w:b/>
          <w:bCs/>
        </w:rPr>
      </w:pPr>
      <w:r>
        <w:rPr>
          <w:b/>
          <w:bCs/>
        </w:rPr>
        <w:lastRenderedPageBreak/>
        <w:t>Profitability ratios:</w:t>
      </w:r>
    </w:p>
    <w:p w14:paraId="03DDAE61" w14:textId="0D42507E" w:rsidR="00334321" w:rsidRPr="00334321" w:rsidRDefault="00334321">
      <w:pPr>
        <w:rPr>
          <w:b/>
          <w:bCs/>
        </w:rPr>
      </w:pPr>
      <w:r w:rsidRPr="00334321">
        <w:rPr>
          <w:b/>
          <w:bCs/>
        </w:rPr>
        <w:t>ROA:</w:t>
      </w:r>
    </w:p>
    <w:p w14:paraId="4F6B963D" w14:textId="77777777" w:rsidR="00B86981" w:rsidRPr="00B86981" w:rsidRDefault="00B86981" w:rsidP="00B86981">
      <w:pPr>
        <w:numPr>
          <w:ilvl w:val="0"/>
          <w:numId w:val="17"/>
        </w:numPr>
      </w:pPr>
      <w:r w:rsidRPr="00B86981">
        <w:t>FY21: The ROA was 15.04%, reflecting efficient asset utilization driven by strong demand in gaming and data center segments.</w:t>
      </w:r>
    </w:p>
    <w:p w14:paraId="6D6F8BA8" w14:textId="77777777" w:rsidR="00B86981" w:rsidRPr="00B86981" w:rsidRDefault="00B86981" w:rsidP="00B86981">
      <w:pPr>
        <w:numPr>
          <w:ilvl w:val="0"/>
          <w:numId w:val="17"/>
        </w:numPr>
      </w:pPr>
      <w:r w:rsidRPr="00B86981">
        <w:t>FY22: ROA increased to 22.07%, supported by exceptional demand across AI, gaming, and autonomous vehicles.</w:t>
      </w:r>
    </w:p>
    <w:p w14:paraId="6B4DA2A4" w14:textId="77777777" w:rsidR="00B86981" w:rsidRPr="00B86981" w:rsidRDefault="00B86981" w:rsidP="00B86981">
      <w:pPr>
        <w:numPr>
          <w:ilvl w:val="0"/>
          <w:numId w:val="17"/>
        </w:numPr>
      </w:pPr>
      <w:r w:rsidRPr="00B86981">
        <w:t>FY23: ROA dropped to 10.61% due to a slowdown in the gaming market and increased operating expenses.</w:t>
      </w:r>
    </w:p>
    <w:p w14:paraId="1C655C1A" w14:textId="77777777" w:rsidR="00B86981" w:rsidRPr="00B86981" w:rsidRDefault="00B86981" w:rsidP="00B86981">
      <w:pPr>
        <w:numPr>
          <w:ilvl w:val="0"/>
          <w:numId w:val="17"/>
        </w:numPr>
      </w:pPr>
      <w:r w:rsidRPr="00B86981">
        <w:t>FY24: ROA surged to 45.28%, driven by explosive growth in the Data Center segment and widespread adoption of AI solutions.</w:t>
      </w:r>
    </w:p>
    <w:p w14:paraId="2EDD85F3" w14:textId="77777777" w:rsidR="0056703A" w:rsidRDefault="00334321" w:rsidP="00334321">
      <w:r>
        <w:rPr>
          <w:b/>
          <w:bCs/>
        </w:rPr>
        <w:t>ROE:</w:t>
      </w:r>
    </w:p>
    <w:p w14:paraId="18F3E9EB" w14:textId="0C35BD8A" w:rsidR="00334321" w:rsidRDefault="00334321" w:rsidP="00334321">
      <w:r w:rsidRPr="00334321">
        <w:t>The significant rise in FY24 can be attributed to a dramatic increase in both revenue (up by 126% to $60.9 billion) and GAAP earnings per share (up by 586% to $11.93), reflecting strong financial performance and enhanced profitability compared to shareholders' equity.</w:t>
      </w:r>
    </w:p>
    <w:p w14:paraId="3064D458" w14:textId="0D2EB15B" w:rsidR="00840F6B" w:rsidRPr="00840F6B" w:rsidRDefault="00840F6B" w:rsidP="00334321">
      <w:pPr>
        <w:rPr>
          <w:b/>
          <w:bCs/>
        </w:rPr>
      </w:pPr>
      <w:r w:rsidRPr="00840F6B">
        <w:rPr>
          <w:b/>
          <w:bCs/>
        </w:rPr>
        <w:t>ROCE:</w:t>
      </w:r>
    </w:p>
    <w:p w14:paraId="1ED85CC0" w14:textId="028F3240" w:rsidR="00840F6B" w:rsidRPr="00840F6B" w:rsidRDefault="00840F6B" w:rsidP="00840F6B">
      <w:r w:rsidRPr="00840F6B">
        <w:t>FY2024: Significant increase in ROCE to 59.8%, indicating enhanced efficiency in utilizing capital to generate profits.</w:t>
      </w:r>
    </w:p>
    <w:p w14:paraId="6D6AFFD3" w14:textId="17B229D5" w:rsidR="00840F6B" w:rsidRPr="00840F6B" w:rsidRDefault="00840F6B" w:rsidP="00840F6B">
      <w:r w:rsidRPr="00840F6B">
        <w:t>FY2023: Notable decline in ROCE to 12.2%, suggesting challenges in operational performance.</w:t>
      </w:r>
    </w:p>
    <w:p w14:paraId="3CE525D5" w14:textId="7C1C968C" w:rsidR="00840F6B" w:rsidRPr="00840F6B" w:rsidRDefault="00840F6B" w:rsidP="00840F6B">
      <w:r w:rsidRPr="00840F6B">
        <w:t>FY2022: Improvement in ROCE to 25.2%, reflecting better capital utilization compared to the previous year.</w:t>
      </w:r>
    </w:p>
    <w:p w14:paraId="4FF3EF09" w14:textId="24DA2EA7" w:rsidR="00840F6B" w:rsidRPr="00840F6B" w:rsidRDefault="00840F6B" w:rsidP="00840F6B">
      <w:r w:rsidRPr="00840F6B">
        <w:t>FY2021: ROCE at 18.2%, serving as a baseline for subsequent performance evaluations.</w:t>
      </w:r>
    </w:p>
    <w:p w14:paraId="1367D9D1" w14:textId="2C2CDBAB" w:rsidR="00EE64F4" w:rsidRDefault="00EE64F4" w:rsidP="00840F6B">
      <w:r w:rsidRPr="00EE64F4">
        <w:rPr>
          <w:b/>
          <w:bCs/>
        </w:rPr>
        <w:t>Gross margin</w:t>
      </w:r>
      <w:r w:rsidRPr="00EE64F4">
        <w:t xml:space="preserve"> is a key indicator of a company's profitability and efficiency, representing the percentage of revenue that exceeds the cost of goods sold (COGS). A higher gross margin indicates better efficiency in managing production costs relative to sales.</w:t>
      </w:r>
    </w:p>
    <w:p w14:paraId="63DF0BD5" w14:textId="7262153E" w:rsidR="00EE64F4" w:rsidRPr="00EE64F4" w:rsidRDefault="00EE64F4" w:rsidP="00EE64F4">
      <w:r w:rsidRPr="00EE64F4">
        <w:rPr>
          <w:b/>
          <w:bCs/>
        </w:rPr>
        <w:t>FY21 to FY22</w:t>
      </w:r>
      <w:r w:rsidRPr="00EE64F4">
        <w:t>: NVIDIA’s gross margin remained strong and saw a modest increase as it capitalized on the growing demand for gaming GPUs and data center products.</w:t>
      </w:r>
    </w:p>
    <w:p w14:paraId="7ED5D034" w14:textId="7A88DEC1" w:rsidR="00EE64F4" w:rsidRDefault="00EE64F4" w:rsidP="00EE64F4">
      <w:r w:rsidRPr="00EE64F4">
        <w:rPr>
          <w:b/>
          <w:bCs/>
        </w:rPr>
        <w:t>FY23 to FY24</w:t>
      </w:r>
      <w:r w:rsidRPr="00EE64F4">
        <w:t>: The most significant improvement in gross margin occurred during these years. The surge in AI-related product demand (like GPUs for machine learning and data centers) led to a dramatic increase in NVIDIA’s gross margins.</w:t>
      </w:r>
    </w:p>
    <w:p w14:paraId="75C565AF" w14:textId="605D1709" w:rsidR="0056703A" w:rsidRPr="0056703A" w:rsidRDefault="0056703A" w:rsidP="0056703A">
      <w:r w:rsidRPr="0056703A">
        <w:t>Th</w:t>
      </w:r>
      <w:r>
        <w:t xml:space="preserve">ere is </w:t>
      </w:r>
      <w:r w:rsidRPr="0056703A">
        <w:t xml:space="preserve">steady growth in </w:t>
      </w:r>
      <w:r w:rsidRPr="0056703A">
        <w:rPr>
          <w:b/>
          <w:bCs/>
        </w:rPr>
        <w:t>SG&amp;A expenses</w:t>
      </w:r>
      <w:r w:rsidRPr="0056703A">
        <w:t>, which reflects NVIDIA's expanding operations and increased investments in marketing, administrative functions, and other general expenses to support its business growth</w:t>
      </w:r>
      <w:r>
        <w:t xml:space="preserve"> but </w:t>
      </w:r>
      <w:r w:rsidRPr="0056703A">
        <w:rPr>
          <w:b/>
          <w:bCs/>
        </w:rPr>
        <w:t>SG&amp;A as a percentage of revenue</w:t>
      </w:r>
      <w:r w:rsidRPr="0056703A">
        <w:t xml:space="preserve"> decreased overtime, from </w:t>
      </w:r>
      <w:r>
        <w:rPr>
          <w:b/>
          <w:bCs/>
        </w:rPr>
        <w:t>11.63%</w:t>
      </w:r>
      <w:r w:rsidRPr="0056703A">
        <w:rPr>
          <w:b/>
          <w:bCs/>
        </w:rPr>
        <w:t xml:space="preserve"> in FY21</w:t>
      </w:r>
      <w:r w:rsidRPr="0056703A">
        <w:t xml:space="preserve"> to </w:t>
      </w:r>
      <w:r>
        <w:rPr>
          <w:b/>
          <w:bCs/>
        </w:rPr>
        <w:t>4.36%</w:t>
      </w:r>
      <w:r w:rsidRPr="0056703A">
        <w:rPr>
          <w:b/>
          <w:bCs/>
        </w:rPr>
        <w:t xml:space="preserve"> in FY24</w:t>
      </w:r>
      <w:r w:rsidRPr="0056703A">
        <w:t xml:space="preserve">. This reduction highlights NVIDIA's operational efficiency as its revenue base grew, especially in the high-margin </w:t>
      </w:r>
      <w:r w:rsidRPr="0056703A">
        <w:rPr>
          <w:b/>
          <w:bCs/>
        </w:rPr>
        <w:t>data center</w:t>
      </w:r>
      <w:r w:rsidRPr="0056703A">
        <w:t xml:space="preserve"> and </w:t>
      </w:r>
      <w:r w:rsidRPr="0056703A">
        <w:rPr>
          <w:b/>
          <w:bCs/>
        </w:rPr>
        <w:t>AI</w:t>
      </w:r>
      <w:r w:rsidRPr="0056703A">
        <w:t xml:space="preserve"> sectors.</w:t>
      </w:r>
    </w:p>
    <w:p w14:paraId="27EFB5CB" w14:textId="14D7D2DE" w:rsidR="00EE64F4" w:rsidRDefault="0056703A">
      <w:r w:rsidRPr="0056703A">
        <w:lastRenderedPageBreak/>
        <w:t xml:space="preserve">The company managed to keep </w:t>
      </w:r>
      <w:r w:rsidRPr="0056703A">
        <w:rPr>
          <w:b/>
          <w:bCs/>
        </w:rPr>
        <w:t>SG&amp;A growth</w:t>
      </w:r>
      <w:r w:rsidRPr="0056703A">
        <w:t xml:space="preserve"> in check while expanding its global presence and enhancing its marketing and sales operations.</w:t>
      </w:r>
    </w:p>
    <w:p w14:paraId="3DBDBF4A" w14:textId="33BF77B5" w:rsidR="0056703A" w:rsidRDefault="0056703A">
      <w:r w:rsidRPr="0056703A">
        <w:t xml:space="preserve">This substantial increase in </w:t>
      </w:r>
      <w:r w:rsidRPr="0056703A">
        <w:rPr>
          <w:b/>
          <w:bCs/>
        </w:rPr>
        <w:t>R&amp;D</w:t>
      </w:r>
      <w:r w:rsidRPr="0056703A">
        <w:t xml:space="preserve"> spending reflects NVIDIA's commitment to innovation and maintaining its competitive edge, particularly in areas like artificial intelligence, data centers, and gaming technologies.</w:t>
      </w:r>
    </w:p>
    <w:p w14:paraId="6BFA8EE0" w14:textId="078C96B3" w:rsidR="0056703A" w:rsidRDefault="0056703A">
      <w:r>
        <w:t xml:space="preserve">Fy22: </w:t>
      </w:r>
      <w:r w:rsidRPr="0056703A">
        <w:t>Significant advancements in AI, including the development of new AI models and enhancements in data center technologies. Increased focus on autonomous vehicle technology and robotics</w:t>
      </w:r>
    </w:p>
    <w:p w14:paraId="7403E1AD" w14:textId="58EC9308" w:rsidR="0056703A" w:rsidRDefault="0056703A">
      <w:r>
        <w:t xml:space="preserve">FY23: </w:t>
      </w:r>
      <w:r w:rsidRPr="0056703A">
        <w:t>generative AI and deep learning. Development of new GPU architecture and enhancements in gaming technologies. Increased investment in software development</w:t>
      </w:r>
    </w:p>
    <w:p w14:paraId="0EA36A17" w14:textId="186CEBCF" w:rsidR="0056703A" w:rsidRDefault="0056703A">
      <w:r>
        <w:t xml:space="preserve">FY24: </w:t>
      </w:r>
      <w:r w:rsidRPr="0056703A">
        <w:t>Development of new AI chips and expansion of data center products. Enhanced efforts in autonomous driving and robotics</w:t>
      </w:r>
    </w:p>
    <w:p w14:paraId="256447CF" w14:textId="13CA8E1C" w:rsidR="00916E2E" w:rsidRDefault="00916E2E">
      <w:r>
        <w:t xml:space="preserve">EBIT, EBT and Net profit Margin will be explained in later slide but overall, there is a good increase in FY21 to FY22 but FY23 was a </w:t>
      </w:r>
      <w:r w:rsidR="00840F6B">
        <w:t>dip,</w:t>
      </w:r>
      <w:r>
        <w:t xml:space="preserve"> and it surged in FY24.</w:t>
      </w:r>
    </w:p>
    <w:p w14:paraId="3A20A798" w14:textId="77777777" w:rsidR="00B163EE" w:rsidRDefault="00B163EE"/>
    <w:p w14:paraId="17F75715" w14:textId="77777777" w:rsidR="00B163EE" w:rsidRDefault="00B163EE"/>
    <w:p w14:paraId="20F55048" w14:textId="77777777" w:rsidR="00B163EE" w:rsidRDefault="00B163EE"/>
    <w:p w14:paraId="1FEF4319" w14:textId="77777777" w:rsidR="00B163EE" w:rsidRDefault="00B163EE"/>
    <w:p w14:paraId="17CCE86E" w14:textId="77777777" w:rsidR="00B163EE" w:rsidRDefault="00B163EE"/>
    <w:p w14:paraId="5C232F98" w14:textId="77777777" w:rsidR="00B163EE" w:rsidRDefault="00B163EE"/>
    <w:p w14:paraId="26CB8BFF" w14:textId="77777777" w:rsidR="00B163EE" w:rsidRDefault="00B163EE"/>
    <w:p w14:paraId="007E1861" w14:textId="77777777" w:rsidR="00B163EE" w:rsidRDefault="00B163EE"/>
    <w:p w14:paraId="5E77C724" w14:textId="77777777" w:rsidR="00B163EE" w:rsidRDefault="00B163EE"/>
    <w:p w14:paraId="390A865E" w14:textId="77777777" w:rsidR="00B163EE" w:rsidRDefault="00B163EE"/>
    <w:p w14:paraId="7A1176D0" w14:textId="77777777" w:rsidR="00B163EE" w:rsidRDefault="00B163EE"/>
    <w:p w14:paraId="0D24EC51" w14:textId="77777777" w:rsidR="00242382" w:rsidRDefault="00242382"/>
    <w:p w14:paraId="4A4C83F0" w14:textId="77777777" w:rsidR="00242382" w:rsidRDefault="00242382"/>
    <w:p w14:paraId="4F31CCF3" w14:textId="77777777" w:rsidR="00B163EE" w:rsidRDefault="00B163EE"/>
    <w:p w14:paraId="75142A6B" w14:textId="77777777" w:rsidR="00B163EE" w:rsidRDefault="00B163EE"/>
    <w:p w14:paraId="2B6D8235" w14:textId="77777777" w:rsidR="00AB5595" w:rsidRDefault="00AB5595"/>
    <w:p w14:paraId="7324BFF5" w14:textId="77777777" w:rsidR="00AB5595" w:rsidRDefault="00AB5595"/>
    <w:p w14:paraId="680FBAC1" w14:textId="77777777" w:rsidR="00AB5595" w:rsidRDefault="00AB5595"/>
    <w:p w14:paraId="7E5BCE32" w14:textId="77ABFCC9" w:rsidR="00BB3A1D" w:rsidRPr="00BB3A1D" w:rsidRDefault="00BB3A1D">
      <w:pPr>
        <w:rPr>
          <w:b/>
          <w:bCs/>
        </w:rPr>
      </w:pPr>
      <w:r w:rsidRPr="00BB3A1D">
        <w:rPr>
          <w:b/>
          <w:bCs/>
        </w:rPr>
        <w:lastRenderedPageBreak/>
        <w:t>Asset Utilization ratios:</w:t>
      </w:r>
    </w:p>
    <w:p w14:paraId="3CA9521C" w14:textId="5E2EBFA6" w:rsidR="00BA4CC0" w:rsidRPr="00BA4CC0" w:rsidRDefault="00F17394" w:rsidP="00BA4CC0">
      <w:pPr>
        <w:pStyle w:val="ListParagraph"/>
        <w:spacing w:line="240" w:lineRule="auto"/>
        <w:ind w:left="0"/>
      </w:pPr>
      <w:r w:rsidRPr="00BA4CC0">
        <w:rPr>
          <w:b/>
          <w:bCs/>
        </w:rPr>
        <w:t>Asset turnover</w:t>
      </w:r>
    </w:p>
    <w:p w14:paraId="2E84DAE9" w14:textId="1F3DB5DD" w:rsidR="00F17394" w:rsidRPr="00F17394" w:rsidRDefault="00BA4CC0" w:rsidP="00BA4CC0">
      <w:pPr>
        <w:pStyle w:val="ListParagraph"/>
        <w:spacing w:line="240" w:lineRule="auto"/>
        <w:ind w:left="0"/>
      </w:pPr>
      <w:r>
        <w:rPr>
          <w:b/>
          <w:bCs/>
        </w:rPr>
        <w:t xml:space="preserve">It </w:t>
      </w:r>
      <w:r w:rsidR="00F17394" w:rsidRPr="00BA4CC0">
        <w:rPr>
          <w:b/>
          <w:bCs/>
        </w:rPr>
        <w:t xml:space="preserve">improved from FY21 to FY22 </w:t>
      </w:r>
      <w:r w:rsidR="00F17394" w:rsidRPr="00F17394">
        <w:t>due to increasing sales in gaming and data centers.</w:t>
      </w:r>
    </w:p>
    <w:p w14:paraId="39CEF642" w14:textId="427B2DEE" w:rsidR="00F17394" w:rsidRPr="00F17394" w:rsidRDefault="00F17394" w:rsidP="00BA4CC0">
      <w:pPr>
        <w:pStyle w:val="ListParagraph"/>
        <w:spacing w:line="240" w:lineRule="auto"/>
        <w:ind w:left="0"/>
      </w:pPr>
      <w:r w:rsidRPr="00BA4CC0">
        <w:rPr>
          <w:b/>
          <w:bCs/>
        </w:rPr>
        <w:t>Declined in FY23</w:t>
      </w:r>
      <w:r w:rsidRPr="00F17394">
        <w:t xml:space="preserve"> as assets grew faster than revenue, largely due to heavy investments.</w:t>
      </w:r>
    </w:p>
    <w:p w14:paraId="483281E4" w14:textId="0A9DC926" w:rsidR="00242382" w:rsidRDefault="00F17394" w:rsidP="00BA4CC0">
      <w:pPr>
        <w:pStyle w:val="ListParagraph"/>
        <w:spacing w:line="240" w:lineRule="auto"/>
        <w:ind w:left="0"/>
      </w:pPr>
      <w:r w:rsidRPr="00BA4CC0">
        <w:rPr>
          <w:b/>
          <w:bCs/>
        </w:rPr>
        <w:t xml:space="preserve">Significantly increased in FY24 </w:t>
      </w:r>
      <w:r w:rsidRPr="00F17394">
        <w:t>as revenue surged, particularly from AI and data center businesses.</w:t>
      </w:r>
    </w:p>
    <w:p w14:paraId="31E66426" w14:textId="77777777" w:rsidR="00B93138" w:rsidRDefault="00B93138" w:rsidP="00BA4CC0">
      <w:pPr>
        <w:pStyle w:val="ListParagraph"/>
        <w:spacing w:line="240" w:lineRule="auto"/>
        <w:ind w:left="0"/>
      </w:pPr>
    </w:p>
    <w:p w14:paraId="5D2830AB" w14:textId="7051AFC0" w:rsidR="00BA4CC0" w:rsidRPr="00BA4CC0" w:rsidRDefault="00BA4CC0" w:rsidP="00BA4CC0">
      <w:pPr>
        <w:pStyle w:val="ListParagraph"/>
        <w:spacing w:line="240" w:lineRule="auto"/>
        <w:ind w:left="0"/>
      </w:pPr>
      <w:r>
        <w:t>PPE Turnover:</w:t>
      </w:r>
    </w:p>
    <w:p w14:paraId="0B5AE024" w14:textId="21AFCC7B" w:rsidR="00E46BDF" w:rsidRPr="00E46BDF" w:rsidRDefault="00E46BDF" w:rsidP="00BA4CC0">
      <w:pPr>
        <w:pStyle w:val="ListParagraph"/>
        <w:spacing w:line="240" w:lineRule="auto"/>
        <w:ind w:left="0"/>
      </w:pPr>
      <w:r w:rsidRPr="00BA4CC0">
        <w:rPr>
          <w:b/>
          <w:bCs/>
        </w:rPr>
        <w:t>NVIDIA’s PPE Turnover is extremely high compared to traditional semiconductor companies</w:t>
      </w:r>
      <w:r w:rsidRPr="00E46BDF">
        <w:t xml:space="preserve"> (e.g., Intel), thanks to its fabless model.</w:t>
      </w:r>
    </w:p>
    <w:p w14:paraId="38556DB1" w14:textId="623A676E" w:rsidR="00E46BDF" w:rsidRPr="00E46BDF" w:rsidRDefault="00BA4CC0" w:rsidP="00BA4CC0">
      <w:pPr>
        <w:pStyle w:val="ListParagraph"/>
        <w:spacing w:line="240" w:lineRule="auto"/>
        <w:ind w:left="0"/>
      </w:pPr>
      <w:r w:rsidRPr="00BA4CC0">
        <w:rPr>
          <w:b/>
          <w:bCs/>
        </w:rPr>
        <w:t>The drop</w:t>
      </w:r>
      <w:r w:rsidR="00E46BDF" w:rsidRPr="00BA4CC0">
        <w:rPr>
          <w:b/>
          <w:bCs/>
        </w:rPr>
        <w:t xml:space="preserve"> in FY23</w:t>
      </w:r>
      <w:r w:rsidR="00E46BDF" w:rsidRPr="00E46BDF">
        <w:t xml:space="preserve"> was due to increased PPE investment while revenue stayed flat.</w:t>
      </w:r>
    </w:p>
    <w:p w14:paraId="71334428" w14:textId="37E42A11" w:rsidR="00E46BDF" w:rsidRDefault="00E46BDF" w:rsidP="00BA4CC0">
      <w:pPr>
        <w:pStyle w:val="ListParagraph"/>
        <w:spacing w:line="240" w:lineRule="auto"/>
        <w:ind w:left="0"/>
      </w:pPr>
      <w:r w:rsidRPr="00BA4CC0">
        <w:rPr>
          <w:b/>
          <w:bCs/>
        </w:rPr>
        <w:t>FY24 saw a major improvement</w:t>
      </w:r>
      <w:r w:rsidRPr="00E46BDF">
        <w:t xml:space="preserve"> as revenue skyrocketed while PPE remained relatively low.</w:t>
      </w:r>
    </w:p>
    <w:p w14:paraId="2BB4A343" w14:textId="77777777" w:rsidR="00B93138" w:rsidRDefault="00B93138" w:rsidP="00BA4CC0">
      <w:pPr>
        <w:pStyle w:val="ListParagraph"/>
        <w:spacing w:line="240" w:lineRule="auto"/>
        <w:ind w:left="0"/>
      </w:pPr>
    </w:p>
    <w:p w14:paraId="7B3B5394" w14:textId="10AA4C3B" w:rsidR="00BA4CC0" w:rsidRDefault="00BA4CC0" w:rsidP="00BA4CC0">
      <w:pPr>
        <w:pStyle w:val="ListParagraph"/>
        <w:spacing w:line="240" w:lineRule="auto"/>
        <w:ind w:left="0"/>
      </w:pPr>
      <w:r w:rsidRPr="001D49F0">
        <w:rPr>
          <w:b/>
          <w:bCs/>
        </w:rPr>
        <w:t>Cash Turnover</w:t>
      </w:r>
      <w:r>
        <w:t>:</w:t>
      </w:r>
    </w:p>
    <w:p w14:paraId="0D1D911A" w14:textId="7F264BEA" w:rsidR="00BA4CC0" w:rsidRPr="00BA4CC0" w:rsidRDefault="00BA4CC0" w:rsidP="00BA4CC0">
      <w:pPr>
        <w:pStyle w:val="ListParagraph"/>
        <w:spacing w:line="240" w:lineRule="auto"/>
        <w:ind w:left="0"/>
      </w:pPr>
      <w:r w:rsidRPr="00BA4CC0">
        <w:t>This ratio measures how efficiently a company utilizes its cash to generate revenue.</w:t>
      </w:r>
    </w:p>
    <w:p w14:paraId="3616BFE4" w14:textId="77777777" w:rsidR="00BA4CC0" w:rsidRPr="00BA4CC0" w:rsidRDefault="00BA4CC0" w:rsidP="00BA4CC0">
      <w:pPr>
        <w:spacing w:line="240" w:lineRule="auto"/>
      </w:pPr>
      <w:r w:rsidRPr="00BA4CC0">
        <w:t>Higher cash turnover means the company efficiently uses its cash to generate revenue.</w:t>
      </w:r>
    </w:p>
    <w:p w14:paraId="37283A05" w14:textId="1E3AAE97" w:rsidR="00BA4CC0" w:rsidRPr="001D49F0" w:rsidRDefault="00BA4CC0" w:rsidP="00BA4CC0">
      <w:pPr>
        <w:spacing w:line="240" w:lineRule="auto"/>
      </w:pPr>
      <w:r w:rsidRPr="00BA4CC0">
        <w:t>Lower cash turnover means cash is sitting idle or being held for strategic reasons.</w:t>
      </w:r>
    </w:p>
    <w:p w14:paraId="41DBCFBD" w14:textId="0580D151" w:rsidR="001D49F0" w:rsidRPr="001D49F0" w:rsidRDefault="001D49F0" w:rsidP="001D49F0">
      <w:pPr>
        <w:spacing w:line="240" w:lineRule="auto"/>
      </w:pPr>
      <w:r w:rsidRPr="001D49F0">
        <w:t>Increased significantly in FY24 (3.10x) → Revenue growth outpaced cash reserves.</w:t>
      </w:r>
    </w:p>
    <w:p w14:paraId="592F8021" w14:textId="050B2A19" w:rsidR="001D49F0" w:rsidRPr="001D49F0" w:rsidRDefault="001D49F0" w:rsidP="001D49F0">
      <w:pPr>
        <w:spacing w:line="240" w:lineRule="auto"/>
      </w:pPr>
      <w:r w:rsidRPr="001D49F0">
        <w:t>Dip in FY23 (1.56x) due to higher cash balance and stagnant revenue.</w:t>
      </w:r>
    </w:p>
    <w:p w14:paraId="1D46B5D9" w14:textId="5C064EF5" w:rsidR="00BA4CC0" w:rsidRPr="00BA4CC0" w:rsidRDefault="00BA4CC0" w:rsidP="00BA4CC0">
      <w:pPr>
        <w:pStyle w:val="ListParagraph"/>
        <w:spacing w:line="240" w:lineRule="auto"/>
        <w:ind w:left="0"/>
        <w:rPr>
          <w:b/>
          <w:bCs/>
        </w:rPr>
      </w:pPr>
      <w:r w:rsidRPr="00BA4CC0">
        <w:rPr>
          <w:b/>
          <w:bCs/>
        </w:rPr>
        <w:t xml:space="preserve">Cash </w:t>
      </w:r>
      <w:r w:rsidR="008C2737">
        <w:rPr>
          <w:b/>
          <w:bCs/>
        </w:rPr>
        <w:t>conversion cycle</w:t>
      </w:r>
      <w:r>
        <w:rPr>
          <w:b/>
          <w:bCs/>
        </w:rPr>
        <w:t>:</w:t>
      </w:r>
      <w:r w:rsidRPr="00BA4CC0">
        <w:br/>
        <w:t>This metric reflects how many days it takes for NVIDIA to convert cash outflows into cash inflows.</w:t>
      </w:r>
    </w:p>
    <w:p w14:paraId="6ECC9CE8" w14:textId="77777777" w:rsidR="00BA4CC0" w:rsidRPr="00BA4CC0" w:rsidRDefault="00BA4CC0" w:rsidP="00BA4CC0">
      <w:pPr>
        <w:spacing w:line="240" w:lineRule="auto"/>
      </w:pPr>
      <w:r w:rsidRPr="00BA4CC0">
        <w:t>Lower cash days = faster cash conversion, better liquidity.</w:t>
      </w:r>
    </w:p>
    <w:p w14:paraId="3AAC7175" w14:textId="77777777" w:rsidR="00BA4CC0" w:rsidRPr="001D49F0" w:rsidRDefault="00BA4CC0" w:rsidP="00BA4CC0">
      <w:pPr>
        <w:spacing w:line="240" w:lineRule="auto"/>
      </w:pPr>
      <w:r w:rsidRPr="00BA4CC0">
        <w:t>Higher cash days = slower cash movement, potential inefficiencies.</w:t>
      </w:r>
    </w:p>
    <w:p w14:paraId="354EF267" w14:textId="1DA806F5" w:rsidR="001D49F0" w:rsidRPr="001D49F0" w:rsidRDefault="001D49F0" w:rsidP="001D49F0">
      <w:pPr>
        <w:spacing w:line="240" w:lineRule="auto"/>
      </w:pPr>
      <w:r w:rsidRPr="001D49F0">
        <w:t>Decreased from 5.8 days (FY21) to 3.8 days (FY24) → NVIDIA is now converting cash faster.</w:t>
      </w:r>
    </w:p>
    <w:p w14:paraId="30B619B5" w14:textId="7D7A41BA" w:rsidR="001D49F0" w:rsidRDefault="001D49F0" w:rsidP="001D49F0">
      <w:pPr>
        <w:spacing w:line="240" w:lineRule="auto"/>
      </w:pPr>
      <w:r w:rsidRPr="001D49F0">
        <w:t>Shorter cycle = more liquidity, better working capital efficiency.</w:t>
      </w:r>
    </w:p>
    <w:p w14:paraId="53AC7BF9" w14:textId="77777777" w:rsidR="00636C62" w:rsidRPr="001D49F0" w:rsidRDefault="00636C62" w:rsidP="001D49F0">
      <w:pPr>
        <w:spacing w:line="240" w:lineRule="auto"/>
      </w:pPr>
    </w:p>
    <w:p w14:paraId="005097F5" w14:textId="3D06E28B" w:rsidR="001D49F0" w:rsidRDefault="00F40B31" w:rsidP="001D49F0">
      <w:pPr>
        <w:spacing w:line="240" w:lineRule="auto"/>
      </w:pPr>
      <w:r w:rsidRPr="00F40B31">
        <w:t xml:space="preserve">NVIDIA’s </w:t>
      </w:r>
      <w:r w:rsidRPr="00F40B31">
        <w:rPr>
          <w:b/>
          <w:bCs/>
        </w:rPr>
        <w:t>A/R Turnover</w:t>
      </w:r>
      <w:r w:rsidRPr="00F40B31">
        <w:t xml:space="preserve"> improved significantly from </w:t>
      </w:r>
      <w:r w:rsidRPr="00F40B31">
        <w:rPr>
          <w:b/>
          <w:bCs/>
        </w:rPr>
        <w:t>6.87x in FY20</w:t>
      </w:r>
      <w:r w:rsidRPr="00F40B31">
        <w:t xml:space="preserve"> to </w:t>
      </w:r>
      <w:r w:rsidRPr="00F40B31">
        <w:rPr>
          <w:b/>
          <w:bCs/>
        </w:rPr>
        <w:t>8.81x in FY24</w:t>
      </w:r>
      <w:r w:rsidRPr="00F40B31">
        <w:t xml:space="preserve">, reflecting more efficient collections. </w:t>
      </w:r>
      <w:r w:rsidRPr="00F40B31">
        <w:rPr>
          <w:b/>
          <w:bCs/>
        </w:rPr>
        <w:t>A/R Days</w:t>
      </w:r>
      <w:r w:rsidRPr="00F40B31">
        <w:t xml:space="preserve"> decreased from </w:t>
      </w:r>
      <w:r w:rsidRPr="00F40B31">
        <w:rPr>
          <w:b/>
          <w:bCs/>
        </w:rPr>
        <w:t>53.1 days in FY20</w:t>
      </w:r>
      <w:r w:rsidRPr="00F40B31">
        <w:t xml:space="preserve"> to </w:t>
      </w:r>
      <w:r w:rsidRPr="00F40B31">
        <w:rPr>
          <w:b/>
          <w:bCs/>
        </w:rPr>
        <w:t>41.4 days in FY24</w:t>
      </w:r>
      <w:r w:rsidRPr="00F40B31">
        <w:t xml:space="preserve">, indicating faster cash conversion. This trend highlights better receivables management, with </w:t>
      </w:r>
      <w:r w:rsidRPr="00F40B31">
        <w:rPr>
          <w:b/>
          <w:bCs/>
        </w:rPr>
        <w:t>faster collections</w:t>
      </w:r>
      <w:r w:rsidRPr="00F40B31">
        <w:t xml:space="preserve"> and </w:t>
      </w:r>
      <w:r w:rsidRPr="00F40B31">
        <w:rPr>
          <w:b/>
          <w:bCs/>
        </w:rPr>
        <w:t>enhanced liquidity</w:t>
      </w:r>
      <w:r w:rsidRPr="00F40B31">
        <w:t>, especially in FY24, following strong revenue growth.</w:t>
      </w:r>
    </w:p>
    <w:p w14:paraId="3C72CE29" w14:textId="77777777" w:rsidR="00636C62" w:rsidRDefault="00636C62" w:rsidP="001D49F0">
      <w:pPr>
        <w:spacing w:line="240" w:lineRule="auto"/>
      </w:pPr>
    </w:p>
    <w:p w14:paraId="0628C9BE" w14:textId="480C1E64" w:rsidR="00F40B31" w:rsidRDefault="00636C62" w:rsidP="001D49F0">
      <w:pPr>
        <w:spacing w:line="240" w:lineRule="auto"/>
      </w:pPr>
      <w:r w:rsidRPr="00636C62">
        <w:t xml:space="preserve">The trends in </w:t>
      </w:r>
      <w:r w:rsidRPr="00636C62">
        <w:rPr>
          <w:b/>
          <w:bCs/>
        </w:rPr>
        <w:t>inventory turnover</w:t>
      </w:r>
      <w:r w:rsidRPr="00636C62">
        <w:t xml:space="preserve"> and inventory days suggest that NVIDIA has faced increasing challenges in managing its inventory efficiently over the past few years. The significant rise in </w:t>
      </w:r>
      <w:r w:rsidRPr="00636C62">
        <w:rPr>
          <w:b/>
          <w:bCs/>
        </w:rPr>
        <w:t xml:space="preserve">inventory days </w:t>
      </w:r>
      <w:r w:rsidRPr="00636C62">
        <w:t>and the corresponding drop in turnover ratio indicate that inventory is taking longer to sell, which could be due to several factors such as increased production, slower sales growth, or strategic decisions to hold more inventory.</w:t>
      </w:r>
    </w:p>
    <w:p w14:paraId="12E7583E" w14:textId="2BA1218D" w:rsidR="00636C62" w:rsidRPr="00636C62" w:rsidRDefault="00636C62" w:rsidP="00636C62">
      <w:pPr>
        <w:numPr>
          <w:ilvl w:val="0"/>
          <w:numId w:val="8"/>
        </w:numPr>
        <w:spacing w:line="240" w:lineRule="auto"/>
      </w:pPr>
      <w:r w:rsidRPr="00636C62">
        <w:t>Increased Production: Higher inventory levels might be due to increased production to meet the expected demand.</w:t>
      </w:r>
    </w:p>
    <w:p w14:paraId="5030EB82" w14:textId="77777777" w:rsidR="00636C62" w:rsidRPr="00636C62" w:rsidRDefault="00636C62" w:rsidP="00636C62">
      <w:pPr>
        <w:numPr>
          <w:ilvl w:val="0"/>
          <w:numId w:val="8"/>
        </w:numPr>
        <w:spacing w:line="240" w:lineRule="auto"/>
      </w:pPr>
      <w:r w:rsidRPr="00636C62">
        <w:lastRenderedPageBreak/>
        <w:t>Market Conditions: Changes in market demand or economic conditions could impact sales and inventory turnover.</w:t>
      </w:r>
    </w:p>
    <w:p w14:paraId="7FC7C1C6" w14:textId="77777777" w:rsidR="00636C62" w:rsidRPr="00636C62" w:rsidRDefault="00636C62" w:rsidP="00636C62">
      <w:pPr>
        <w:numPr>
          <w:ilvl w:val="0"/>
          <w:numId w:val="8"/>
        </w:numPr>
        <w:spacing w:line="240" w:lineRule="auto"/>
      </w:pPr>
      <w:r w:rsidRPr="00636C62">
        <w:t>Strategic Investments: NVIDIA might be investing in new product lines or technologies, leading to higher inventory levels.</w:t>
      </w:r>
    </w:p>
    <w:p w14:paraId="20157DA8" w14:textId="77777777" w:rsidR="00636C62" w:rsidRPr="00BA4CC0" w:rsidRDefault="00636C62" w:rsidP="001D49F0">
      <w:pPr>
        <w:spacing w:line="240" w:lineRule="auto"/>
      </w:pPr>
    </w:p>
    <w:p w14:paraId="1DC4846F" w14:textId="4851029E" w:rsidR="009D6CEB" w:rsidRPr="009D6CEB" w:rsidRDefault="009D6CEB" w:rsidP="009D6CEB">
      <w:pPr>
        <w:spacing w:line="240" w:lineRule="auto"/>
      </w:pPr>
      <w:r w:rsidRPr="009D6CEB">
        <w:rPr>
          <w:b/>
          <w:bCs/>
        </w:rPr>
        <w:t>FY2024</w:t>
      </w:r>
      <w:r w:rsidRPr="009D6CEB">
        <w:t xml:space="preserve"> has the highest </w:t>
      </w:r>
      <w:r w:rsidRPr="009D6CEB">
        <w:rPr>
          <w:b/>
          <w:bCs/>
        </w:rPr>
        <w:t>AP Turnover</w:t>
      </w:r>
      <w:r w:rsidRPr="009D6CEB">
        <w:t xml:space="preserve"> of </w:t>
      </w:r>
      <w:r w:rsidRPr="009D6CEB">
        <w:rPr>
          <w:b/>
          <w:bCs/>
        </w:rPr>
        <w:t>8.54x</w:t>
      </w:r>
      <w:r w:rsidRPr="009D6CEB">
        <w:t>, indicating that NVIDIA is efficiently managing its accounts payable and paying its suppliers quickly.</w:t>
      </w:r>
    </w:p>
    <w:p w14:paraId="17195E09" w14:textId="054D7FCF" w:rsidR="009D6CEB" w:rsidRPr="009D6CEB" w:rsidRDefault="009D6CEB" w:rsidP="009D6CEB">
      <w:pPr>
        <w:spacing w:line="240" w:lineRule="auto"/>
      </w:pPr>
      <w:r w:rsidRPr="009D6CEB">
        <w:rPr>
          <w:b/>
          <w:bCs/>
        </w:rPr>
        <w:t>AP Days</w:t>
      </w:r>
      <w:r w:rsidRPr="009D6CEB">
        <w:t xml:space="preserve"> for FY2024 are </w:t>
      </w:r>
      <w:r w:rsidRPr="009D6CEB">
        <w:rPr>
          <w:b/>
          <w:bCs/>
        </w:rPr>
        <w:t>42.7 days</w:t>
      </w:r>
      <w:r w:rsidRPr="009D6CEB">
        <w:t>, which is the shortest in the period analyzed, showing improved efficiency in managing payables compared to the prior years.</w:t>
      </w:r>
    </w:p>
    <w:p w14:paraId="15A0945C" w14:textId="784EA0A3" w:rsidR="009D6CEB" w:rsidRDefault="009D6CEB" w:rsidP="009D6CEB">
      <w:pPr>
        <w:spacing w:line="240" w:lineRule="auto"/>
      </w:pPr>
      <w:r w:rsidRPr="009D6CEB">
        <w:t xml:space="preserve">From </w:t>
      </w:r>
      <w:r w:rsidRPr="009D6CEB">
        <w:rPr>
          <w:b/>
          <w:bCs/>
        </w:rPr>
        <w:t>FY2021</w:t>
      </w:r>
      <w:r w:rsidRPr="009D6CEB">
        <w:t xml:space="preserve"> to </w:t>
      </w:r>
      <w:r w:rsidRPr="009D6CEB">
        <w:rPr>
          <w:b/>
          <w:bCs/>
        </w:rPr>
        <w:t>FY2022</w:t>
      </w:r>
      <w:r w:rsidRPr="009D6CEB">
        <w:t xml:space="preserve">, there was a noticeable decline in </w:t>
      </w:r>
      <w:r w:rsidRPr="009D6CEB">
        <w:rPr>
          <w:b/>
          <w:bCs/>
        </w:rPr>
        <w:t>AP Turnover</w:t>
      </w:r>
      <w:r w:rsidRPr="009D6CEB">
        <w:t xml:space="preserve"> from </w:t>
      </w:r>
      <w:r w:rsidRPr="009D6CEB">
        <w:rPr>
          <w:b/>
          <w:bCs/>
        </w:rPr>
        <w:t>6.65x</w:t>
      </w:r>
      <w:r w:rsidRPr="009D6CEB">
        <w:t xml:space="preserve"> to </w:t>
      </w:r>
      <w:r w:rsidRPr="009D6CEB">
        <w:rPr>
          <w:b/>
          <w:bCs/>
        </w:rPr>
        <w:t>6.33x</w:t>
      </w:r>
      <w:r w:rsidRPr="009D6CEB">
        <w:t>, which means that NVIDIA took slightly longer to pay its suppliers in FY2022.</w:t>
      </w:r>
    </w:p>
    <w:p w14:paraId="17AF7C23" w14:textId="77777777" w:rsidR="009D6CEB" w:rsidRDefault="009D6CEB" w:rsidP="009D6CEB">
      <w:pPr>
        <w:spacing w:line="240" w:lineRule="auto"/>
      </w:pPr>
    </w:p>
    <w:p w14:paraId="46944711" w14:textId="2874AC67" w:rsidR="009D6CEB" w:rsidRDefault="009D6CEB" w:rsidP="009D6CEB">
      <w:pPr>
        <w:spacing w:line="240" w:lineRule="auto"/>
      </w:pPr>
      <w:r w:rsidRPr="009D6CEB">
        <w:t xml:space="preserve">A shorter CCC is generally favorable as it indicates that the company can quickly convert its investments into cash, improving liquidity and reducing the need for external financing. The </w:t>
      </w:r>
      <w:r>
        <w:t xml:space="preserve">very slight </w:t>
      </w:r>
      <w:r w:rsidRPr="009D6CEB">
        <w:t>improvements in CCC in FY22 and FY21 suggest that NVIDIA had been focusing on enhancing its operational efficiency, though the increase in FY23 and FY24 indicates some challenges.</w:t>
      </w:r>
    </w:p>
    <w:p w14:paraId="454F3944" w14:textId="77777777" w:rsidR="00B163EE" w:rsidRDefault="00B163EE" w:rsidP="009D6CEB">
      <w:pPr>
        <w:spacing w:line="240" w:lineRule="auto"/>
      </w:pPr>
    </w:p>
    <w:p w14:paraId="4AAA272C" w14:textId="77777777" w:rsidR="00B163EE" w:rsidRDefault="00B163EE" w:rsidP="009D6CEB">
      <w:pPr>
        <w:spacing w:line="240" w:lineRule="auto"/>
      </w:pPr>
    </w:p>
    <w:p w14:paraId="2AE1E246" w14:textId="77777777" w:rsidR="00B163EE" w:rsidRDefault="00B163EE" w:rsidP="009D6CEB">
      <w:pPr>
        <w:spacing w:line="240" w:lineRule="auto"/>
      </w:pPr>
    </w:p>
    <w:p w14:paraId="7648BA64" w14:textId="77777777" w:rsidR="00B163EE" w:rsidRDefault="00B163EE" w:rsidP="009D6CEB">
      <w:pPr>
        <w:spacing w:line="240" w:lineRule="auto"/>
      </w:pPr>
    </w:p>
    <w:p w14:paraId="714B12B8" w14:textId="77777777" w:rsidR="00B163EE" w:rsidRDefault="00B163EE" w:rsidP="009D6CEB">
      <w:pPr>
        <w:spacing w:line="240" w:lineRule="auto"/>
      </w:pPr>
    </w:p>
    <w:p w14:paraId="18D53432" w14:textId="77777777" w:rsidR="00B163EE" w:rsidRDefault="00B163EE" w:rsidP="009D6CEB">
      <w:pPr>
        <w:spacing w:line="240" w:lineRule="auto"/>
      </w:pPr>
    </w:p>
    <w:p w14:paraId="26372779" w14:textId="77777777" w:rsidR="00B163EE" w:rsidRDefault="00B163EE" w:rsidP="009D6CEB">
      <w:pPr>
        <w:spacing w:line="240" w:lineRule="auto"/>
      </w:pPr>
    </w:p>
    <w:p w14:paraId="5D74580F" w14:textId="77777777" w:rsidR="00B163EE" w:rsidRDefault="00B163EE" w:rsidP="009D6CEB">
      <w:pPr>
        <w:spacing w:line="240" w:lineRule="auto"/>
      </w:pPr>
    </w:p>
    <w:p w14:paraId="1F1EA191" w14:textId="77777777" w:rsidR="00B163EE" w:rsidRDefault="00B163EE" w:rsidP="009D6CEB">
      <w:pPr>
        <w:spacing w:line="240" w:lineRule="auto"/>
      </w:pPr>
    </w:p>
    <w:p w14:paraId="4272538F" w14:textId="77777777" w:rsidR="00B163EE" w:rsidRDefault="00B163EE" w:rsidP="009D6CEB">
      <w:pPr>
        <w:spacing w:line="240" w:lineRule="auto"/>
      </w:pPr>
    </w:p>
    <w:p w14:paraId="0BAC1EA6" w14:textId="77777777" w:rsidR="00B163EE" w:rsidRDefault="00B163EE" w:rsidP="009D6CEB">
      <w:pPr>
        <w:spacing w:line="240" w:lineRule="auto"/>
      </w:pPr>
    </w:p>
    <w:p w14:paraId="279C99F9" w14:textId="77777777" w:rsidR="00B163EE" w:rsidRDefault="00B163EE" w:rsidP="009D6CEB">
      <w:pPr>
        <w:spacing w:line="240" w:lineRule="auto"/>
      </w:pPr>
    </w:p>
    <w:p w14:paraId="476352BD" w14:textId="77777777" w:rsidR="00B163EE" w:rsidRDefault="00B163EE" w:rsidP="009D6CEB">
      <w:pPr>
        <w:spacing w:line="240" w:lineRule="auto"/>
      </w:pPr>
    </w:p>
    <w:p w14:paraId="2181BC70" w14:textId="77777777" w:rsidR="00B163EE" w:rsidRDefault="00B163EE" w:rsidP="009D6CEB">
      <w:pPr>
        <w:spacing w:line="240" w:lineRule="auto"/>
      </w:pPr>
    </w:p>
    <w:p w14:paraId="3091BCA7" w14:textId="77777777" w:rsidR="00B163EE" w:rsidRDefault="00B163EE" w:rsidP="009D6CEB">
      <w:pPr>
        <w:spacing w:line="240" w:lineRule="auto"/>
      </w:pPr>
    </w:p>
    <w:p w14:paraId="4818A126" w14:textId="77777777" w:rsidR="00BA4CC0" w:rsidRDefault="00BA4CC0">
      <w:pPr>
        <w:spacing w:line="240" w:lineRule="auto"/>
      </w:pPr>
    </w:p>
    <w:p w14:paraId="5001C2F9" w14:textId="77777777" w:rsidR="00BB3A1D" w:rsidRDefault="00BB3A1D">
      <w:pPr>
        <w:spacing w:line="240" w:lineRule="auto"/>
      </w:pPr>
    </w:p>
    <w:p w14:paraId="4E232BF5" w14:textId="1C0D945F" w:rsidR="00B163EE" w:rsidRPr="00BB3A1D" w:rsidRDefault="00B163EE">
      <w:pPr>
        <w:spacing w:line="240" w:lineRule="auto"/>
        <w:rPr>
          <w:b/>
          <w:bCs/>
        </w:rPr>
      </w:pPr>
      <w:r w:rsidRPr="00BB3A1D">
        <w:rPr>
          <w:b/>
          <w:bCs/>
        </w:rPr>
        <w:lastRenderedPageBreak/>
        <w:t>Leverage ratios:</w:t>
      </w:r>
    </w:p>
    <w:p w14:paraId="026BB995" w14:textId="77777777" w:rsidR="00B163EE" w:rsidRPr="00B163EE" w:rsidRDefault="00B163EE" w:rsidP="00B163EE">
      <w:pPr>
        <w:numPr>
          <w:ilvl w:val="0"/>
          <w:numId w:val="9"/>
        </w:numPr>
        <w:spacing w:line="240" w:lineRule="auto"/>
      </w:pPr>
      <w:r w:rsidRPr="00B163EE">
        <w:rPr>
          <w:b/>
          <w:bCs/>
        </w:rPr>
        <w:t>FY20 to FY21</w:t>
      </w:r>
      <w:r w:rsidRPr="00B163EE">
        <w:t>: The ratio increased from 1.42 to 1.70, indicating that NVIDIA's assets grew at a faster rate than its equity. This could be due to significant investments or acquisitions.</w:t>
      </w:r>
    </w:p>
    <w:p w14:paraId="79BB3A0E" w14:textId="77777777" w:rsidR="00B163EE" w:rsidRPr="00B163EE" w:rsidRDefault="00B163EE" w:rsidP="00B163EE">
      <w:pPr>
        <w:numPr>
          <w:ilvl w:val="0"/>
          <w:numId w:val="9"/>
        </w:numPr>
        <w:spacing w:line="240" w:lineRule="auto"/>
      </w:pPr>
      <w:r w:rsidRPr="00B163EE">
        <w:rPr>
          <w:b/>
          <w:bCs/>
        </w:rPr>
        <w:t>FY22</w:t>
      </w:r>
      <w:r w:rsidRPr="00B163EE">
        <w:t>: The ratio slightly decreased to 1.66, suggesting a more balanced growth between assets and equity.</w:t>
      </w:r>
    </w:p>
    <w:p w14:paraId="1EAF1C62" w14:textId="77777777" w:rsidR="00B163EE" w:rsidRPr="00B163EE" w:rsidRDefault="00B163EE" w:rsidP="00B163EE">
      <w:pPr>
        <w:numPr>
          <w:ilvl w:val="0"/>
          <w:numId w:val="9"/>
        </w:numPr>
        <w:spacing w:line="240" w:lineRule="auto"/>
      </w:pPr>
      <w:r w:rsidRPr="00B163EE">
        <w:rPr>
          <w:b/>
          <w:bCs/>
        </w:rPr>
        <w:t>FY23</w:t>
      </w:r>
      <w:r w:rsidRPr="00B163EE">
        <w:t>: The ratio increased to 1.86, indicating a higher reliance on debt or liabilities to finance asset growth.</w:t>
      </w:r>
    </w:p>
    <w:p w14:paraId="3EE0985E" w14:textId="77777777" w:rsidR="00B163EE" w:rsidRDefault="00B163EE" w:rsidP="00B163EE">
      <w:pPr>
        <w:numPr>
          <w:ilvl w:val="0"/>
          <w:numId w:val="9"/>
        </w:numPr>
        <w:spacing w:line="240" w:lineRule="auto"/>
      </w:pPr>
      <w:r w:rsidRPr="00B163EE">
        <w:rPr>
          <w:b/>
          <w:bCs/>
        </w:rPr>
        <w:t>FY24</w:t>
      </w:r>
      <w:r w:rsidRPr="00B163EE">
        <w:t>: The ratio decreased to 1.53, reflecting a substantial increase in equity, possibly due to retained earnings or new equity financing.</w:t>
      </w:r>
    </w:p>
    <w:p w14:paraId="2C3DE15C" w14:textId="77777777" w:rsidR="006C60BE" w:rsidRDefault="006C60BE" w:rsidP="006C60BE">
      <w:pPr>
        <w:spacing w:line="240" w:lineRule="auto"/>
        <w:ind w:left="720"/>
        <w:rPr>
          <w:b/>
          <w:bCs/>
        </w:rPr>
      </w:pPr>
    </w:p>
    <w:p w14:paraId="6FABEB8E" w14:textId="77777777" w:rsidR="006C60BE" w:rsidRPr="006C60BE" w:rsidRDefault="006C60BE" w:rsidP="006C60BE">
      <w:pPr>
        <w:numPr>
          <w:ilvl w:val="0"/>
          <w:numId w:val="11"/>
        </w:numPr>
        <w:spacing w:line="240" w:lineRule="auto"/>
      </w:pPr>
      <w:r w:rsidRPr="006C60BE">
        <w:rPr>
          <w:b/>
          <w:bCs/>
        </w:rPr>
        <w:t>FY21</w:t>
      </w:r>
      <w:r w:rsidRPr="006C60BE">
        <w:t>: The ratio increased to 0.70, indicating higher leverage, possibly due to increased borrowing to finance growth or investments.</w:t>
      </w:r>
    </w:p>
    <w:p w14:paraId="31788E84" w14:textId="77777777" w:rsidR="006C60BE" w:rsidRPr="006C60BE" w:rsidRDefault="006C60BE" w:rsidP="006C60BE">
      <w:pPr>
        <w:numPr>
          <w:ilvl w:val="0"/>
          <w:numId w:val="11"/>
        </w:numPr>
        <w:spacing w:line="240" w:lineRule="auto"/>
      </w:pPr>
      <w:r w:rsidRPr="006C60BE">
        <w:rPr>
          <w:b/>
          <w:bCs/>
        </w:rPr>
        <w:t>FY22</w:t>
      </w:r>
      <w:r w:rsidRPr="006C60BE">
        <w:t>: The ratio slightly decreased to 0.66, reflecting a more balanced approach to debt and equity financing.</w:t>
      </w:r>
    </w:p>
    <w:p w14:paraId="79001A91" w14:textId="77777777" w:rsidR="006C60BE" w:rsidRPr="006C60BE" w:rsidRDefault="006C60BE" w:rsidP="006C60BE">
      <w:pPr>
        <w:numPr>
          <w:ilvl w:val="0"/>
          <w:numId w:val="11"/>
        </w:numPr>
        <w:spacing w:line="240" w:lineRule="auto"/>
      </w:pPr>
      <w:r w:rsidRPr="006C60BE">
        <w:rPr>
          <w:b/>
          <w:bCs/>
        </w:rPr>
        <w:t>FY23</w:t>
      </w:r>
      <w:r w:rsidRPr="006C60BE">
        <w:t>: The ratio increased to 0.86, suggesting a higher reliance on debt, which could indicate increased financial risk but also potential for higher returns.</w:t>
      </w:r>
    </w:p>
    <w:p w14:paraId="14082ADC" w14:textId="77777777" w:rsidR="006C60BE" w:rsidRPr="006C60BE" w:rsidRDefault="006C60BE" w:rsidP="006C60BE">
      <w:pPr>
        <w:numPr>
          <w:ilvl w:val="0"/>
          <w:numId w:val="11"/>
        </w:numPr>
        <w:spacing w:line="240" w:lineRule="auto"/>
      </w:pPr>
      <w:r w:rsidRPr="006C60BE">
        <w:rPr>
          <w:b/>
          <w:bCs/>
        </w:rPr>
        <w:t>FY24</w:t>
      </w:r>
      <w:r w:rsidRPr="006C60BE">
        <w:t>: The ratio decreased to 0.53, indicating a reduction in debt relative to equity, which suggests improved financial stability and lower leverage.</w:t>
      </w:r>
    </w:p>
    <w:p w14:paraId="361B939B" w14:textId="77777777" w:rsidR="00B163EE" w:rsidRDefault="00B163EE">
      <w:pPr>
        <w:spacing w:line="240" w:lineRule="auto"/>
      </w:pPr>
    </w:p>
    <w:p w14:paraId="053C7893" w14:textId="4EEE0358" w:rsidR="006C60BE" w:rsidRPr="006C60BE" w:rsidRDefault="006C60BE" w:rsidP="006C60BE">
      <w:pPr>
        <w:numPr>
          <w:ilvl w:val="0"/>
          <w:numId w:val="10"/>
        </w:numPr>
        <w:spacing w:line="240" w:lineRule="auto"/>
      </w:pPr>
      <w:r w:rsidRPr="006C60BE">
        <w:rPr>
          <w:b/>
          <w:bCs/>
        </w:rPr>
        <w:t>FY21</w:t>
      </w:r>
      <w:r w:rsidRPr="006C60BE">
        <w:t xml:space="preserve">: The ratio </w:t>
      </w:r>
      <w:r>
        <w:t xml:space="preserve">compared to FY20 </w:t>
      </w:r>
      <w:r w:rsidRPr="006C60BE">
        <w:t>increased to 2.11, suggesting higher leverage.</w:t>
      </w:r>
    </w:p>
    <w:p w14:paraId="7BEA4DB4" w14:textId="77777777" w:rsidR="006C60BE" w:rsidRPr="006C60BE" w:rsidRDefault="006C60BE" w:rsidP="006C60BE">
      <w:pPr>
        <w:numPr>
          <w:ilvl w:val="0"/>
          <w:numId w:val="10"/>
        </w:numPr>
        <w:spacing w:line="240" w:lineRule="auto"/>
      </w:pPr>
      <w:r w:rsidRPr="006C60BE">
        <w:rPr>
          <w:b/>
          <w:bCs/>
        </w:rPr>
        <w:t>FY22</w:t>
      </w:r>
      <w:r w:rsidRPr="006C60BE">
        <w:t>: The ratio decreased to 1.57, indicating improved earnings relative to debt.</w:t>
      </w:r>
    </w:p>
    <w:p w14:paraId="66B3FC55" w14:textId="77777777" w:rsidR="006C60BE" w:rsidRPr="006C60BE" w:rsidRDefault="006C60BE" w:rsidP="006C60BE">
      <w:pPr>
        <w:numPr>
          <w:ilvl w:val="0"/>
          <w:numId w:val="10"/>
        </w:numPr>
        <w:spacing w:line="240" w:lineRule="auto"/>
      </w:pPr>
      <w:r w:rsidRPr="006C60BE">
        <w:rPr>
          <w:b/>
          <w:bCs/>
        </w:rPr>
        <w:t>FY23</w:t>
      </w:r>
      <w:r w:rsidRPr="006C60BE">
        <w:t>: The ratio increased significantly to 3.31, reflecting higher debt levels or lower earnings.</w:t>
      </w:r>
    </w:p>
    <w:p w14:paraId="21E43228" w14:textId="77777777" w:rsidR="006C60BE" w:rsidRDefault="006C60BE" w:rsidP="006C60BE">
      <w:pPr>
        <w:numPr>
          <w:ilvl w:val="0"/>
          <w:numId w:val="10"/>
        </w:numPr>
        <w:spacing w:line="240" w:lineRule="auto"/>
      </w:pPr>
      <w:r w:rsidRPr="006C60BE">
        <w:rPr>
          <w:b/>
          <w:bCs/>
        </w:rPr>
        <w:t>FY24</w:t>
      </w:r>
      <w:r w:rsidRPr="006C60BE">
        <w:t>: The ratio decreased dramatically to 0.66, indicating strong earnings relative to debt, suggesting improved financial health and lower leverage.</w:t>
      </w:r>
    </w:p>
    <w:p w14:paraId="3EB55AE1" w14:textId="77777777" w:rsidR="006C60BE" w:rsidRPr="006C60BE" w:rsidRDefault="006C60BE" w:rsidP="006C60BE">
      <w:pPr>
        <w:spacing w:line="240" w:lineRule="auto"/>
        <w:ind w:left="360"/>
      </w:pPr>
    </w:p>
    <w:p w14:paraId="50DC634C" w14:textId="1D1DB526" w:rsidR="00B163EE" w:rsidRDefault="006C60BE">
      <w:pPr>
        <w:spacing w:line="240" w:lineRule="auto"/>
      </w:pPr>
      <w:r>
        <w:t>Net Debt to EBITDA also exhibit same trend as Debt to EBITDA.</w:t>
      </w:r>
    </w:p>
    <w:p w14:paraId="053F0139" w14:textId="77777777" w:rsidR="006C60BE" w:rsidRDefault="006C60BE">
      <w:pPr>
        <w:spacing w:line="240" w:lineRule="auto"/>
      </w:pPr>
    </w:p>
    <w:p w14:paraId="2F6FDE80" w14:textId="77777777" w:rsidR="004B7C3D" w:rsidRDefault="004B7C3D">
      <w:pPr>
        <w:spacing w:line="240" w:lineRule="auto"/>
      </w:pPr>
    </w:p>
    <w:p w14:paraId="2BC55284" w14:textId="77777777" w:rsidR="004B7C3D" w:rsidRDefault="004B7C3D">
      <w:pPr>
        <w:spacing w:line="240" w:lineRule="auto"/>
      </w:pPr>
    </w:p>
    <w:p w14:paraId="0512F710" w14:textId="77777777" w:rsidR="004B7C3D" w:rsidRDefault="004B7C3D">
      <w:pPr>
        <w:spacing w:line="240" w:lineRule="auto"/>
      </w:pPr>
    </w:p>
    <w:p w14:paraId="733564CB" w14:textId="77777777" w:rsidR="004B7C3D" w:rsidRDefault="004B7C3D">
      <w:pPr>
        <w:spacing w:line="240" w:lineRule="auto"/>
      </w:pPr>
    </w:p>
    <w:p w14:paraId="6F3856FD" w14:textId="77777777" w:rsidR="00241172" w:rsidRDefault="00241172">
      <w:pPr>
        <w:spacing w:line="240" w:lineRule="auto"/>
      </w:pPr>
    </w:p>
    <w:p w14:paraId="25EE2A59" w14:textId="77777777" w:rsidR="004B7C3D" w:rsidRDefault="004B7C3D">
      <w:pPr>
        <w:spacing w:line="240" w:lineRule="auto"/>
      </w:pPr>
    </w:p>
    <w:p w14:paraId="03F3678A" w14:textId="19A339D4" w:rsidR="004B7C3D" w:rsidRPr="00BB3A1D" w:rsidRDefault="004B7C3D">
      <w:pPr>
        <w:spacing w:line="240" w:lineRule="auto"/>
        <w:rPr>
          <w:b/>
          <w:bCs/>
        </w:rPr>
      </w:pPr>
      <w:r w:rsidRPr="00BB3A1D">
        <w:rPr>
          <w:b/>
          <w:bCs/>
        </w:rPr>
        <w:lastRenderedPageBreak/>
        <w:t>Liquidity Ratios:</w:t>
      </w:r>
    </w:p>
    <w:p w14:paraId="3667F8C3" w14:textId="77777777" w:rsidR="004B7C3D" w:rsidRDefault="004B7C3D">
      <w:pPr>
        <w:spacing w:line="240" w:lineRule="auto"/>
      </w:pPr>
    </w:p>
    <w:p w14:paraId="44E06648" w14:textId="77777777" w:rsidR="004B7C3D" w:rsidRPr="004B7C3D" w:rsidRDefault="004B7C3D" w:rsidP="004B7C3D">
      <w:pPr>
        <w:numPr>
          <w:ilvl w:val="0"/>
          <w:numId w:val="12"/>
        </w:numPr>
        <w:spacing w:line="240" w:lineRule="auto"/>
      </w:pPr>
      <w:r w:rsidRPr="004B7C3D">
        <w:rPr>
          <w:b/>
          <w:bCs/>
        </w:rPr>
        <w:t>FY20</w:t>
      </w:r>
      <w:r w:rsidRPr="004B7C3D">
        <w:t>: A very high current ratio of 7.67 indicates strong liquidity, with ample current assets to cover current liabilities.</w:t>
      </w:r>
    </w:p>
    <w:p w14:paraId="6FC0BE95" w14:textId="77777777" w:rsidR="004B7C3D" w:rsidRPr="004B7C3D" w:rsidRDefault="004B7C3D" w:rsidP="004B7C3D">
      <w:pPr>
        <w:numPr>
          <w:ilvl w:val="0"/>
          <w:numId w:val="12"/>
        </w:numPr>
        <w:spacing w:line="240" w:lineRule="auto"/>
      </w:pPr>
      <w:r w:rsidRPr="004B7C3D">
        <w:rPr>
          <w:b/>
          <w:bCs/>
        </w:rPr>
        <w:t>FY21</w:t>
      </w:r>
      <w:r w:rsidRPr="004B7C3D">
        <w:t>: The ratio decreased to 4.09, still indicating good liquidity but with a higher proportion of liabilities.</w:t>
      </w:r>
    </w:p>
    <w:p w14:paraId="505C3F95" w14:textId="77777777" w:rsidR="004B7C3D" w:rsidRPr="004B7C3D" w:rsidRDefault="004B7C3D" w:rsidP="004B7C3D">
      <w:pPr>
        <w:numPr>
          <w:ilvl w:val="0"/>
          <w:numId w:val="12"/>
        </w:numPr>
        <w:spacing w:line="240" w:lineRule="auto"/>
      </w:pPr>
      <w:r w:rsidRPr="004B7C3D">
        <w:rPr>
          <w:b/>
          <w:bCs/>
        </w:rPr>
        <w:t>FY22</w:t>
      </w:r>
      <w:r w:rsidRPr="004B7C3D">
        <w:t>: The ratio increased to 6.65, reflecting improved liquidity and a strong ability to cover short-term obligations.</w:t>
      </w:r>
    </w:p>
    <w:p w14:paraId="7E000EDE" w14:textId="77777777" w:rsidR="004B7C3D" w:rsidRPr="004B7C3D" w:rsidRDefault="004B7C3D" w:rsidP="004B7C3D">
      <w:pPr>
        <w:numPr>
          <w:ilvl w:val="0"/>
          <w:numId w:val="12"/>
        </w:numPr>
        <w:spacing w:line="240" w:lineRule="auto"/>
      </w:pPr>
      <w:r w:rsidRPr="004B7C3D">
        <w:rPr>
          <w:b/>
          <w:bCs/>
        </w:rPr>
        <w:t>FY23</w:t>
      </w:r>
      <w:r w:rsidRPr="004B7C3D">
        <w:t>: The ratio decreased to 3.51, suggesting a higher level of current liabilities relative to current assets.</w:t>
      </w:r>
    </w:p>
    <w:p w14:paraId="63474F63" w14:textId="77777777" w:rsidR="004B7C3D" w:rsidRPr="004B7C3D" w:rsidRDefault="004B7C3D" w:rsidP="004B7C3D">
      <w:pPr>
        <w:numPr>
          <w:ilvl w:val="0"/>
          <w:numId w:val="12"/>
        </w:numPr>
        <w:spacing w:line="240" w:lineRule="auto"/>
      </w:pPr>
      <w:r w:rsidRPr="004B7C3D">
        <w:rPr>
          <w:b/>
          <w:bCs/>
        </w:rPr>
        <w:t>FY24</w:t>
      </w:r>
      <w:r w:rsidRPr="004B7C3D">
        <w:t>: The ratio improved to 4.17, indicating a balanced approach to managing current assets and liabilities, maintaining good liquidity.</w:t>
      </w:r>
    </w:p>
    <w:p w14:paraId="0F3920B6" w14:textId="1B1AE7A3" w:rsidR="004B7C3D" w:rsidRDefault="007D22D5">
      <w:pPr>
        <w:spacing w:line="240" w:lineRule="auto"/>
      </w:pPr>
      <w:r>
        <w:t xml:space="preserve">Current Ratio and Quick ratio exhibit similarity, Quick Assets is calculated after excluding </w:t>
      </w:r>
      <w:r w:rsidR="00241172">
        <w:t xml:space="preserve">Inventory, </w:t>
      </w:r>
      <w:r w:rsidR="00241172" w:rsidRPr="00241172">
        <w:t>Current ratio is useful for a general overview of liquidity, while the quick ratio is better for assessing a company's ability to meet short-term obligations without relying on inventory sales.</w:t>
      </w:r>
    </w:p>
    <w:p w14:paraId="738DF031" w14:textId="4317ED6D" w:rsidR="00241172" w:rsidRDefault="00241172" w:rsidP="00241172">
      <w:pPr>
        <w:spacing w:line="240" w:lineRule="auto"/>
      </w:pPr>
      <w:r w:rsidRPr="00241172">
        <w:t>NVIDIA's fluctuating interest coverage ratios reflect its dynamic financial performance and ability to manage interest expenses. The significant increase in FY24 suggests a strong financial position with excellent coverage of interest obligations.</w:t>
      </w:r>
      <w:r>
        <w:t xml:space="preserve"> In case of FY23, The revenue decline and increased operating expenses are the reason for ratio fall.</w:t>
      </w:r>
    </w:p>
    <w:p w14:paraId="740F26E2" w14:textId="77777777" w:rsidR="00241172" w:rsidRDefault="00241172" w:rsidP="00241172">
      <w:pPr>
        <w:spacing w:line="240" w:lineRule="auto"/>
      </w:pPr>
    </w:p>
    <w:sectPr w:rsidR="0024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BDF"/>
    <w:multiLevelType w:val="multilevel"/>
    <w:tmpl w:val="060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0E2C"/>
    <w:multiLevelType w:val="multilevel"/>
    <w:tmpl w:val="A51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0917"/>
    <w:multiLevelType w:val="hybridMultilevel"/>
    <w:tmpl w:val="38F6BD56"/>
    <w:lvl w:ilvl="0" w:tplc="D696F78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097618D3"/>
    <w:multiLevelType w:val="multilevel"/>
    <w:tmpl w:val="0836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85AE0"/>
    <w:multiLevelType w:val="multilevel"/>
    <w:tmpl w:val="FF5A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1658D"/>
    <w:multiLevelType w:val="multilevel"/>
    <w:tmpl w:val="58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45866"/>
    <w:multiLevelType w:val="multilevel"/>
    <w:tmpl w:val="1FE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A3D32"/>
    <w:multiLevelType w:val="multilevel"/>
    <w:tmpl w:val="BB5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513B9"/>
    <w:multiLevelType w:val="hybridMultilevel"/>
    <w:tmpl w:val="C748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8756C"/>
    <w:multiLevelType w:val="multilevel"/>
    <w:tmpl w:val="20B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D3792"/>
    <w:multiLevelType w:val="multilevel"/>
    <w:tmpl w:val="283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E2852"/>
    <w:multiLevelType w:val="multilevel"/>
    <w:tmpl w:val="2AA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819FA"/>
    <w:multiLevelType w:val="multilevel"/>
    <w:tmpl w:val="7B7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E09F2"/>
    <w:multiLevelType w:val="multilevel"/>
    <w:tmpl w:val="617C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D1938"/>
    <w:multiLevelType w:val="multilevel"/>
    <w:tmpl w:val="598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36BD8"/>
    <w:multiLevelType w:val="multilevel"/>
    <w:tmpl w:val="298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94D17"/>
    <w:multiLevelType w:val="multilevel"/>
    <w:tmpl w:val="855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6582">
    <w:abstractNumId w:val="3"/>
  </w:num>
  <w:num w:numId="2" w16cid:durableId="981079755">
    <w:abstractNumId w:val="4"/>
  </w:num>
  <w:num w:numId="3" w16cid:durableId="1813139509">
    <w:abstractNumId w:val="9"/>
  </w:num>
  <w:num w:numId="4" w16cid:durableId="52049315">
    <w:abstractNumId w:val="0"/>
  </w:num>
  <w:num w:numId="5" w16cid:durableId="1150900294">
    <w:abstractNumId w:val="14"/>
  </w:num>
  <w:num w:numId="6" w16cid:durableId="1894996413">
    <w:abstractNumId w:val="2"/>
  </w:num>
  <w:num w:numId="7" w16cid:durableId="1628320001">
    <w:abstractNumId w:val="8"/>
  </w:num>
  <w:num w:numId="8" w16cid:durableId="1790125809">
    <w:abstractNumId w:val="12"/>
  </w:num>
  <w:num w:numId="9" w16cid:durableId="969895766">
    <w:abstractNumId w:val="13"/>
  </w:num>
  <w:num w:numId="10" w16cid:durableId="418450847">
    <w:abstractNumId w:val="5"/>
  </w:num>
  <w:num w:numId="11" w16cid:durableId="113987756">
    <w:abstractNumId w:val="6"/>
  </w:num>
  <w:num w:numId="12" w16cid:durableId="1784835522">
    <w:abstractNumId w:val="10"/>
  </w:num>
  <w:num w:numId="13" w16cid:durableId="955719786">
    <w:abstractNumId w:val="15"/>
  </w:num>
  <w:num w:numId="14" w16cid:durableId="1225724617">
    <w:abstractNumId w:val="16"/>
  </w:num>
  <w:num w:numId="15" w16cid:durableId="22439560">
    <w:abstractNumId w:val="7"/>
  </w:num>
  <w:num w:numId="16" w16cid:durableId="580525401">
    <w:abstractNumId w:val="11"/>
  </w:num>
  <w:num w:numId="17" w16cid:durableId="211466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08"/>
    <w:rsid w:val="000F1280"/>
    <w:rsid w:val="001D49F0"/>
    <w:rsid w:val="00241172"/>
    <w:rsid w:val="00242382"/>
    <w:rsid w:val="002935E2"/>
    <w:rsid w:val="00334321"/>
    <w:rsid w:val="003E1F63"/>
    <w:rsid w:val="004B7C3D"/>
    <w:rsid w:val="0056703A"/>
    <w:rsid w:val="00636C62"/>
    <w:rsid w:val="006C60BE"/>
    <w:rsid w:val="007D22D5"/>
    <w:rsid w:val="00840F6B"/>
    <w:rsid w:val="008C2737"/>
    <w:rsid w:val="008E6730"/>
    <w:rsid w:val="00916E2E"/>
    <w:rsid w:val="009D6CEB"/>
    <w:rsid w:val="00A418CB"/>
    <w:rsid w:val="00AB5595"/>
    <w:rsid w:val="00B02951"/>
    <w:rsid w:val="00B163EE"/>
    <w:rsid w:val="00B86981"/>
    <w:rsid w:val="00B93138"/>
    <w:rsid w:val="00BA4CC0"/>
    <w:rsid w:val="00BB3A1D"/>
    <w:rsid w:val="00C310F7"/>
    <w:rsid w:val="00C44E08"/>
    <w:rsid w:val="00C567E5"/>
    <w:rsid w:val="00CE0D2E"/>
    <w:rsid w:val="00DF774B"/>
    <w:rsid w:val="00E46BDF"/>
    <w:rsid w:val="00EE64F4"/>
    <w:rsid w:val="00F17394"/>
    <w:rsid w:val="00F4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64C"/>
  <w15:chartTrackingRefBased/>
  <w15:docId w15:val="{2DD51391-16C5-40AF-836D-06E6DE64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E08"/>
    <w:rPr>
      <w:rFonts w:eastAsiaTheme="majorEastAsia" w:cstheme="majorBidi"/>
      <w:color w:val="272727" w:themeColor="text1" w:themeTint="D8"/>
    </w:rPr>
  </w:style>
  <w:style w:type="paragraph" w:styleId="Title">
    <w:name w:val="Title"/>
    <w:basedOn w:val="Normal"/>
    <w:next w:val="Normal"/>
    <w:link w:val="TitleChar"/>
    <w:uiPriority w:val="10"/>
    <w:qFormat/>
    <w:rsid w:val="00C44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E08"/>
    <w:pPr>
      <w:spacing w:before="160"/>
      <w:jc w:val="center"/>
    </w:pPr>
    <w:rPr>
      <w:i/>
      <w:iCs/>
      <w:color w:val="404040" w:themeColor="text1" w:themeTint="BF"/>
    </w:rPr>
  </w:style>
  <w:style w:type="character" w:customStyle="1" w:styleId="QuoteChar">
    <w:name w:val="Quote Char"/>
    <w:basedOn w:val="DefaultParagraphFont"/>
    <w:link w:val="Quote"/>
    <w:uiPriority w:val="29"/>
    <w:rsid w:val="00C44E08"/>
    <w:rPr>
      <w:i/>
      <w:iCs/>
      <w:color w:val="404040" w:themeColor="text1" w:themeTint="BF"/>
    </w:rPr>
  </w:style>
  <w:style w:type="paragraph" w:styleId="ListParagraph">
    <w:name w:val="List Paragraph"/>
    <w:basedOn w:val="Normal"/>
    <w:uiPriority w:val="34"/>
    <w:qFormat/>
    <w:rsid w:val="00C44E08"/>
    <w:pPr>
      <w:ind w:left="720"/>
      <w:contextualSpacing/>
    </w:pPr>
  </w:style>
  <w:style w:type="character" w:styleId="IntenseEmphasis">
    <w:name w:val="Intense Emphasis"/>
    <w:basedOn w:val="DefaultParagraphFont"/>
    <w:uiPriority w:val="21"/>
    <w:qFormat/>
    <w:rsid w:val="00C44E08"/>
    <w:rPr>
      <w:i/>
      <w:iCs/>
      <w:color w:val="0F4761" w:themeColor="accent1" w:themeShade="BF"/>
    </w:rPr>
  </w:style>
  <w:style w:type="paragraph" w:styleId="IntenseQuote">
    <w:name w:val="Intense Quote"/>
    <w:basedOn w:val="Normal"/>
    <w:next w:val="Normal"/>
    <w:link w:val="IntenseQuoteChar"/>
    <w:uiPriority w:val="30"/>
    <w:qFormat/>
    <w:rsid w:val="00C44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E08"/>
    <w:rPr>
      <w:i/>
      <w:iCs/>
      <w:color w:val="0F4761" w:themeColor="accent1" w:themeShade="BF"/>
    </w:rPr>
  </w:style>
  <w:style w:type="character" w:styleId="IntenseReference">
    <w:name w:val="Intense Reference"/>
    <w:basedOn w:val="DefaultParagraphFont"/>
    <w:uiPriority w:val="32"/>
    <w:qFormat/>
    <w:rsid w:val="00C44E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9697">
      <w:bodyDiv w:val="1"/>
      <w:marLeft w:val="0"/>
      <w:marRight w:val="0"/>
      <w:marTop w:val="0"/>
      <w:marBottom w:val="0"/>
      <w:divBdr>
        <w:top w:val="none" w:sz="0" w:space="0" w:color="auto"/>
        <w:left w:val="none" w:sz="0" w:space="0" w:color="auto"/>
        <w:bottom w:val="none" w:sz="0" w:space="0" w:color="auto"/>
        <w:right w:val="none" w:sz="0" w:space="0" w:color="auto"/>
      </w:divBdr>
    </w:div>
    <w:div w:id="48498364">
      <w:bodyDiv w:val="1"/>
      <w:marLeft w:val="0"/>
      <w:marRight w:val="0"/>
      <w:marTop w:val="0"/>
      <w:marBottom w:val="0"/>
      <w:divBdr>
        <w:top w:val="none" w:sz="0" w:space="0" w:color="auto"/>
        <w:left w:val="none" w:sz="0" w:space="0" w:color="auto"/>
        <w:bottom w:val="none" w:sz="0" w:space="0" w:color="auto"/>
        <w:right w:val="none" w:sz="0" w:space="0" w:color="auto"/>
      </w:divBdr>
    </w:div>
    <w:div w:id="70124761">
      <w:bodyDiv w:val="1"/>
      <w:marLeft w:val="0"/>
      <w:marRight w:val="0"/>
      <w:marTop w:val="0"/>
      <w:marBottom w:val="0"/>
      <w:divBdr>
        <w:top w:val="none" w:sz="0" w:space="0" w:color="auto"/>
        <w:left w:val="none" w:sz="0" w:space="0" w:color="auto"/>
        <w:bottom w:val="none" w:sz="0" w:space="0" w:color="auto"/>
        <w:right w:val="none" w:sz="0" w:space="0" w:color="auto"/>
      </w:divBdr>
    </w:div>
    <w:div w:id="148713711">
      <w:bodyDiv w:val="1"/>
      <w:marLeft w:val="0"/>
      <w:marRight w:val="0"/>
      <w:marTop w:val="0"/>
      <w:marBottom w:val="0"/>
      <w:divBdr>
        <w:top w:val="none" w:sz="0" w:space="0" w:color="auto"/>
        <w:left w:val="none" w:sz="0" w:space="0" w:color="auto"/>
        <w:bottom w:val="none" w:sz="0" w:space="0" w:color="auto"/>
        <w:right w:val="none" w:sz="0" w:space="0" w:color="auto"/>
      </w:divBdr>
    </w:div>
    <w:div w:id="230426864">
      <w:bodyDiv w:val="1"/>
      <w:marLeft w:val="0"/>
      <w:marRight w:val="0"/>
      <w:marTop w:val="0"/>
      <w:marBottom w:val="0"/>
      <w:divBdr>
        <w:top w:val="none" w:sz="0" w:space="0" w:color="auto"/>
        <w:left w:val="none" w:sz="0" w:space="0" w:color="auto"/>
        <w:bottom w:val="none" w:sz="0" w:space="0" w:color="auto"/>
        <w:right w:val="none" w:sz="0" w:space="0" w:color="auto"/>
      </w:divBdr>
    </w:div>
    <w:div w:id="284040255">
      <w:bodyDiv w:val="1"/>
      <w:marLeft w:val="0"/>
      <w:marRight w:val="0"/>
      <w:marTop w:val="0"/>
      <w:marBottom w:val="0"/>
      <w:divBdr>
        <w:top w:val="none" w:sz="0" w:space="0" w:color="auto"/>
        <w:left w:val="none" w:sz="0" w:space="0" w:color="auto"/>
        <w:bottom w:val="none" w:sz="0" w:space="0" w:color="auto"/>
        <w:right w:val="none" w:sz="0" w:space="0" w:color="auto"/>
      </w:divBdr>
    </w:div>
    <w:div w:id="294331335">
      <w:bodyDiv w:val="1"/>
      <w:marLeft w:val="0"/>
      <w:marRight w:val="0"/>
      <w:marTop w:val="0"/>
      <w:marBottom w:val="0"/>
      <w:divBdr>
        <w:top w:val="none" w:sz="0" w:space="0" w:color="auto"/>
        <w:left w:val="none" w:sz="0" w:space="0" w:color="auto"/>
        <w:bottom w:val="none" w:sz="0" w:space="0" w:color="auto"/>
        <w:right w:val="none" w:sz="0" w:space="0" w:color="auto"/>
      </w:divBdr>
    </w:div>
    <w:div w:id="303047403">
      <w:bodyDiv w:val="1"/>
      <w:marLeft w:val="0"/>
      <w:marRight w:val="0"/>
      <w:marTop w:val="0"/>
      <w:marBottom w:val="0"/>
      <w:divBdr>
        <w:top w:val="none" w:sz="0" w:space="0" w:color="auto"/>
        <w:left w:val="none" w:sz="0" w:space="0" w:color="auto"/>
        <w:bottom w:val="none" w:sz="0" w:space="0" w:color="auto"/>
        <w:right w:val="none" w:sz="0" w:space="0" w:color="auto"/>
      </w:divBdr>
    </w:div>
    <w:div w:id="313876844">
      <w:bodyDiv w:val="1"/>
      <w:marLeft w:val="0"/>
      <w:marRight w:val="0"/>
      <w:marTop w:val="0"/>
      <w:marBottom w:val="0"/>
      <w:divBdr>
        <w:top w:val="none" w:sz="0" w:space="0" w:color="auto"/>
        <w:left w:val="none" w:sz="0" w:space="0" w:color="auto"/>
        <w:bottom w:val="none" w:sz="0" w:space="0" w:color="auto"/>
        <w:right w:val="none" w:sz="0" w:space="0" w:color="auto"/>
      </w:divBdr>
    </w:div>
    <w:div w:id="330525113">
      <w:bodyDiv w:val="1"/>
      <w:marLeft w:val="0"/>
      <w:marRight w:val="0"/>
      <w:marTop w:val="0"/>
      <w:marBottom w:val="0"/>
      <w:divBdr>
        <w:top w:val="none" w:sz="0" w:space="0" w:color="auto"/>
        <w:left w:val="none" w:sz="0" w:space="0" w:color="auto"/>
        <w:bottom w:val="none" w:sz="0" w:space="0" w:color="auto"/>
        <w:right w:val="none" w:sz="0" w:space="0" w:color="auto"/>
      </w:divBdr>
      <w:divsChild>
        <w:div w:id="926571575">
          <w:marLeft w:val="0"/>
          <w:marRight w:val="0"/>
          <w:marTop w:val="0"/>
          <w:marBottom w:val="0"/>
          <w:divBdr>
            <w:top w:val="none" w:sz="0" w:space="0" w:color="auto"/>
            <w:left w:val="none" w:sz="0" w:space="0" w:color="auto"/>
            <w:bottom w:val="none" w:sz="0" w:space="0" w:color="auto"/>
            <w:right w:val="none" w:sz="0" w:space="0" w:color="auto"/>
          </w:divBdr>
        </w:div>
        <w:div w:id="1495099546">
          <w:marLeft w:val="0"/>
          <w:marRight w:val="0"/>
          <w:marTop w:val="0"/>
          <w:marBottom w:val="0"/>
          <w:divBdr>
            <w:top w:val="none" w:sz="0" w:space="0" w:color="auto"/>
            <w:left w:val="none" w:sz="0" w:space="0" w:color="auto"/>
            <w:bottom w:val="none" w:sz="0" w:space="0" w:color="auto"/>
            <w:right w:val="none" w:sz="0" w:space="0" w:color="auto"/>
          </w:divBdr>
        </w:div>
        <w:div w:id="1302005403">
          <w:marLeft w:val="0"/>
          <w:marRight w:val="0"/>
          <w:marTop w:val="0"/>
          <w:marBottom w:val="0"/>
          <w:divBdr>
            <w:top w:val="none" w:sz="0" w:space="0" w:color="auto"/>
            <w:left w:val="none" w:sz="0" w:space="0" w:color="auto"/>
            <w:bottom w:val="none" w:sz="0" w:space="0" w:color="auto"/>
            <w:right w:val="none" w:sz="0" w:space="0" w:color="auto"/>
          </w:divBdr>
        </w:div>
        <w:div w:id="9843340">
          <w:marLeft w:val="0"/>
          <w:marRight w:val="0"/>
          <w:marTop w:val="0"/>
          <w:marBottom w:val="0"/>
          <w:divBdr>
            <w:top w:val="none" w:sz="0" w:space="0" w:color="auto"/>
            <w:left w:val="none" w:sz="0" w:space="0" w:color="auto"/>
            <w:bottom w:val="none" w:sz="0" w:space="0" w:color="auto"/>
            <w:right w:val="none" w:sz="0" w:space="0" w:color="auto"/>
          </w:divBdr>
        </w:div>
        <w:div w:id="1000616993">
          <w:marLeft w:val="0"/>
          <w:marRight w:val="0"/>
          <w:marTop w:val="0"/>
          <w:marBottom w:val="0"/>
          <w:divBdr>
            <w:top w:val="none" w:sz="0" w:space="0" w:color="auto"/>
            <w:left w:val="none" w:sz="0" w:space="0" w:color="auto"/>
            <w:bottom w:val="none" w:sz="0" w:space="0" w:color="auto"/>
            <w:right w:val="none" w:sz="0" w:space="0" w:color="auto"/>
          </w:divBdr>
        </w:div>
        <w:div w:id="1663697875">
          <w:marLeft w:val="0"/>
          <w:marRight w:val="0"/>
          <w:marTop w:val="0"/>
          <w:marBottom w:val="0"/>
          <w:divBdr>
            <w:top w:val="none" w:sz="0" w:space="0" w:color="auto"/>
            <w:left w:val="none" w:sz="0" w:space="0" w:color="auto"/>
            <w:bottom w:val="none" w:sz="0" w:space="0" w:color="auto"/>
            <w:right w:val="none" w:sz="0" w:space="0" w:color="auto"/>
          </w:divBdr>
        </w:div>
      </w:divsChild>
    </w:div>
    <w:div w:id="367219091">
      <w:bodyDiv w:val="1"/>
      <w:marLeft w:val="0"/>
      <w:marRight w:val="0"/>
      <w:marTop w:val="0"/>
      <w:marBottom w:val="0"/>
      <w:divBdr>
        <w:top w:val="none" w:sz="0" w:space="0" w:color="auto"/>
        <w:left w:val="none" w:sz="0" w:space="0" w:color="auto"/>
        <w:bottom w:val="none" w:sz="0" w:space="0" w:color="auto"/>
        <w:right w:val="none" w:sz="0" w:space="0" w:color="auto"/>
      </w:divBdr>
    </w:div>
    <w:div w:id="398207416">
      <w:bodyDiv w:val="1"/>
      <w:marLeft w:val="0"/>
      <w:marRight w:val="0"/>
      <w:marTop w:val="0"/>
      <w:marBottom w:val="0"/>
      <w:divBdr>
        <w:top w:val="none" w:sz="0" w:space="0" w:color="auto"/>
        <w:left w:val="none" w:sz="0" w:space="0" w:color="auto"/>
        <w:bottom w:val="none" w:sz="0" w:space="0" w:color="auto"/>
        <w:right w:val="none" w:sz="0" w:space="0" w:color="auto"/>
      </w:divBdr>
    </w:div>
    <w:div w:id="428476687">
      <w:bodyDiv w:val="1"/>
      <w:marLeft w:val="0"/>
      <w:marRight w:val="0"/>
      <w:marTop w:val="0"/>
      <w:marBottom w:val="0"/>
      <w:divBdr>
        <w:top w:val="none" w:sz="0" w:space="0" w:color="auto"/>
        <w:left w:val="none" w:sz="0" w:space="0" w:color="auto"/>
        <w:bottom w:val="none" w:sz="0" w:space="0" w:color="auto"/>
        <w:right w:val="none" w:sz="0" w:space="0" w:color="auto"/>
      </w:divBdr>
    </w:div>
    <w:div w:id="430125750">
      <w:bodyDiv w:val="1"/>
      <w:marLeft w:val="0"/>
      <w:marRight w:val="0"/>
      <w:marTop w:val="0"/>
      <w:marBottom w:val="0"/>
      <w:divBdr>
        <w:top w:val="none" w:sz="0" w:space="0" w:color="auto"/>
        <w:left w:val="none" w:sz="0" w:space="0" w:color="auto"/>
        <w:bottom w:val="none" w:sz="0" w:space="0" w:color="auto"/>
        <w:right w:val="none" w:sz="0" w:space="0" w:color="auto"/>
      </w:divBdr>
    </w:div>
    <w:div w:id="457335997">
      <w:bodyDiv w:val="1"/>
      <w:marLeft w:val="0"/>
      <w:marRight w:val="0"/>
      <w:marTop w:val="0"/>
      <w:marBottom w:val="0"/>
      <w:divBdr>
        <w:top w:val="none" w:sz="0" w:space="0" w:color="auto"/>
        <w:left w:val="none" w:sz="0" w:space="0" w:color="auto"/>
        <w:bottom w:val="none" w:sz="0" w:space="0" w:color="auto"/>
        <w:right w:val="none" w:sz="0" w:space="0" w:color="auto"/>
      </w:divBdr>
    </w:div>
    <w:div w:id="604390382">
      <w:bodyDiv w:val="1"/>
      <w:marLeft w:val="0"/>
      <w:marRight w:val="0"/>
      <w:marTop w:val="0"/>
      <w:marBottom w:val="0"/>
      <w:divBdr>
        <w:top w:val="none" w:sz="0" w:space="0" w:color="auto"/>
        <w:left w:val="none" w:sz="0" w:space="0" w:color="auto"/>
        <w:bottom w:val="none" w:sz="0" w:space="0" w:color="auto"/>
        <w:right w:val="none" w:sz="0" w:space="0" w:color="auto"/>
      </w:divBdr>
    </w:div>
    <w:div w:id="625351886">
      <w:bodyDiv w:val="1"/>
      <w:marLeft w:val="0"/>
      <w:marRight w:val="0"/>
      <w:marTop w:val="0"/>
      <w:marBottom w:val="0"/>
      <w:divBdr>
        <w:top w:val="none" w:sz="0" w:space="0" w:color="auto"/>
        <w:left w:val="none" w:sz="0" w:space="0" w:color="auto"/>
        <w:bottom w:val="none" w:sz="0" w:space="0" w:color="auto"/>
        <w:right w:val="none" w:sz="0" w:space="0" w:color="auto"/>
      </w:divBdr>
    </w:div>
    <w:div w:id="718557559">
      <w:bodyDiv w:val="1"/>
      <w:marLeft w:val="0"/>
      <w:marRight w:val="0"/>
      <w:marTop w:val="0"/>
      <w:marBottom w:val="0"/>
      <w:divBdr>
        <w:top w:val="none" w:sz="0" w:space="0" w:color="auto"/>
        <w:left w:val="none" w:sz="0" w:space="0" w:color="auto"/>
        <w:bottom w:val="none" w:sz="0" w:space="0" w:color="auto"/>
        <w:right w:val="none" w:sz="0" w:space="0" w:color="auto"/>
      </w:divBdr>
    </w:div>
    <w:div w:id="729765157">
      <w:bodyDiv w:val="1"/>
      <w:marLeft w:val="0"/>
      <w:marRight w:val="0"/>
      <w:marTop w:val="0"/>
      <w:marBottom w:val="0"/>
      <w:divBdr>
        <w:top w:val="none" w:sz="0" w:space="0" w:color="auto"/>
        <w:left w:val="none" w:sz="0" w:space="0" w:color="auto"/>
        <w:bottom w:val="none" w:sz="0" w:space="0" w:color="auto"/>
        <w:right w:val="none" w:sz="0" w:space="0" w:color="auto"/>
      </w:divBdr>
    </w:div>
    <w:div w:id="729815597">
      <w:bodyDiv w:val="1"/>
      <w:marLeft w:val="0"/>
      <w:marRight w:val="0"/>
      <w:marTop w:val="0"/>
      <w:marBottom w:val="0"/>
      <w:divBdr>
        <w:top w:val="none" w:sz="0" w:space="0" w:color="auto"/>
        <w:left w:val="none" w:sz="0" w:space="0" w:color="auto"/>
        <w:bottom w:val="none" w:sz="0" w:space="0" w:color="auto"/>
        <w:right w:val="none" w:sz="0" w:space="0" w:color="auto"/>
      </w:divBdr>
      <w:divsChild>
        <w:div w:id="971053968">
          <w:marLeft w:val="0"/>
          <w:marRight w:val="0"/>
          <w:marTop w:val="0"/>
          <w:marBottom w:val="0"/>
          <w:divBdr>
            <w:top w:val="none" w:sz="0" w:space="0" w:color="auto"/>
            <w:left w:val="none" w:sz="0" w:space="0" w:color="auto"/>
            <w:bottom w:val="none" w:sz="0" w:space="0" w:color="auto"/>
            <w:right w:val="none" w:sz="0" w:space="0" w:color="auto"/>
          </w:divBdr>
        </w:div>
        <w:div w:id="1822233773">
          <w:marLeft w:val="0"/>
          <w:marRight w:val="0"/>
          <w:marTop w:val="0"/>
          <w:marBottom w:val="0"/>
          <w:divBdr>
            <w:top w:val="none" w:sz="0" w:space="0" w:color="auto"/>
            <w:left w:val="none" w:sz="0" w:space="0" w:color="auto"/>
            <w:bottom w:val="none" w:sz="0" w:space="0" w:color="auto"/>
            <w:right w:val="none" w:sz="0" w:space="0" w:color="auto"/>
          </w:divBdr>
        </w:div>
        <w:div w:id="288322631">
          <w:marLeft w:val="0"/>
          <w:marRight w:val="0"/>
          <w:marTop w:val="0"/>
          <w:marBottom w:val="0"/>
          <w:divBdr>
            <w:top w:val="none" w:sz="0" w:space="0" w:color="auto"/>
            <w:left w:val="none" w:sz="0" w:space="0" w:color="auto"/>
            <w:bottom w:val="none" w:sz="0" w:space="0" w:color="auto"/>
            <w:right w:val="none" w:sz="0" w:space="0" w:color="auto"/>
          </w:divBdr>
        </w:div>
        <w:div w:id="1684356530">
          <w:marLeft w:val="0"/>
          <w:marRight w:val="0"/>
          <w:marTop w:val="0"/>
          <w:marBottom w:val="0"/>
          <w:divBdr>
            <w:top w:val="none" w:sz="0" w:space="0" w:color="auto"/>
            <w:left w:val="none" w:sz="0" w:space="0" w:color="auto"/>
            <w:bottom w:val="none" w:sz="0" w:space="0" w:color="auto"/>
            <w:right w:val="none" w:sz="0" w:space="0" w:color="auto"/>
          </w:divBdr>
        </w:div>
        <w:div w:id="227153248">
          <w:marLeft w:val="0"/>
          <w:marRight w:val="0"/>
          <w:marTop w:val="0"/>
          <w:marBottom w:val="0"/>
          <w:divBdr>
            <w:top w:val="none" w:sz="0" w:space="0" w:color="auto"/>
            <w:left w:val="none" w:sz="0" w:space="0" w:color="auto"/>
            <w:bottom w:val="none" w:sz="0" w:space="0" w:color="auto"/>
            <w:right w:val="none" w:sz="0" w:space="0" w:color="auto"/>
          </w:divBdr>
        </w:div>
        <w:div w:id="462314202">
          <w:marLeft w:val="0"/>
          <w:marRight w:val="0"/>
          <w:marTop w:val="0"/>
          <w:marBottom w:val="0"/>
          <w:divBdr>
            <w:top w:val="none" w:sz="0" w:space="0" w:color="auto"/>
            <w:left w:val="none" w:sz="0" w:space="0" w:color="auto"/>
            <w:bottom w:val="none" w:sz="0" w:space="0" w:color="auto"/>
            <w:right w:val="none" w:sz="0" w:space="0" w:color="auto"/>
          </w:divBdr>
        </w:div>
      </w:divsChild>
    </w:div>
    <w:div w:id="766973045">
      <w:bodyDiv w:val="1"/>
      <w:marLeft w:val="0"/>
      <w:marRight w:val="0"/>
      <w:marTop w:val="0"/>
      <w:marBottom w:val="0"/>
      <w:divBdr>
        <w:top w:val="none" w:sz="0" w:space="0" w:color="auto"/>
        <w:left w:val="none" w:sz="0" w:space="0" w:color="auto"/>
        <w:bottom w:val="none" w:sz="0" w:space="0" w:color="auto"/>
        <w:right w:val="none" w:sz="0" w:space="0" w:color="auto"/>
      </w:divBdr>
    </w:div>
    <w:div w:id="891498267">
      <w:bodyDiv w:val="1"/>
      <w:marLeft w:val="0"/>
      <w:marRight w:val="0"/>
      <w:marTop w:val="0"/>
      <w:marBottom w:val="0"/>
      <w:divBdr>
        <w:top w:val="none" w:sz="0" w:space="0" w:color="auto"/>
        <w:left w:val="none" w:sz="0" w:space="0" w:color="auto"/>
        <w:bottom w:val="none" w:sz="0" w:space="0" w:color="auto"/>
        <w:right w:val="none" w:sz="0" w:space="0" w:color="auto"/>
      </w:divBdr>
    </w:div>
    <w:div w:id="1019939173">
      <w:bodyDiv w:val="1"/>
      <w:marLeft w:val="0"/>
      <w:marRight w:val="0"/>
      <w:marTop w:val="0"/>
      <w:marBottom w:val="0"/>
      <w:divBdr>
        <w:top w:val="none" w:sz="0" w:space="0" w:color="auto"/>
        <w:left w:val="none" w:sz="0" w:space="0" w:color="auto"/>
        <w:bottom w:val="none" w:sz="0" w:space="0" w:color="auto"/>
        <w:right w:val="none" w:sz="0" w:space="0" w:color="auto"/>
      </w:divBdr>
    </w:div>
    <w:div w:id="1033925257">
      <w:bodyDiv w:val="1"/>
      <w:marLeft w:val="0"/>
      <w:marRight w:val="0"/>
      <w:marTop w:val="0"/>
      <w:marBottom w:val="0"/>
      <w:divBdr>
        <w:top w:val="none" w:sz="0" w:space="0" w:color="auto"/>
        <w:left w:val="none" w:sz="0" w:space="0" w:color="auto"/>
        <w:bottom w:val="none" w:sz="0" w:space="0" w:color="auto"/>
        <w:right w:val="none" w:sz="0" w:space="0" w:color="auto"/>
      </w:divBdr>
    </w:div>
    <w:div w:id="1197697648">
      <w:bodyDiv w:val="1"/>
      <w:marLeft w:val="0"/>
      <w:marRight w:val="0"/>
      <w:marTop w:val="0"/>
      <w:marBottom w:val="0"/>
      <w:divBdr>
        <w:top w:val="none" w:sz="0" w:space="0" w:color="auto"/>
        <w:left w:val="none" w:sz="0" w:space="0" w:color="auto"/>
        <w:bottom w:val="none" w:sz="0" w:space="0" w:color="auto"/>
        <w:right w:val="none" w:sz="0" w:space="0" w:color="auto"/>
      </w:divBdr>
    </w:div>
    <w:div w:id="1354109417">
      <w:bodyDiv w:val="1"/>
      <w:marLeft w:val="0"/>
      <w:marRight w:val="0"/>
      <w:marTop w:val="0"/>
      <w:marBottom w:val="0"/>
      <w:divBdr>
        <w:top w:val="none" w:sz="0" w:space="0" w:color="auto"/>
        <w:left w:val="none" w:sz="0" w:space="0" w:color="auto"/>
        <w:bottom w:val="none" w:sz="0" w:space="0" w:color="auto"/>
        <w:right w:val="none" w:sz="0" w:space="0" w:color="auto"/>
      </w:divBdr>
    </w:div>
    <w:div w:id="1361660932">
      <w:bodyDiv w:val="1"/>
      <w:marLeft w:val="0"/>
      <w:marRight w:val="0"/>
      <w:marTop w:val="0"/>
      <w:marBottom w:val="0"/>
      <w:divBdr>
        <w:top w:val="none" w:sz="0" w:space="0" w:color="auto"/>
        <w:left w:val="none" w:sz="0" w:space="0" w:color="auto"/>
        <w:bottom w:val="none" w:sz="0" w:space="0" w:color="auto"/>
        <w:right w:val="none" w:sz="0" w:space="0" w:color="auto"/>
      </w:divBdr>
    </w:div>
    <w:div w:id="1378236743">
      <w:bodyDiv w:val="1"/>
      <w:marLeft w:val="0"/>
      <w:marRight w:val="0"/>
      <w:marTop w:val="0"/>
      <w:marBottom w:val="0"/>
      <w:divBdr>
        <w:top w:val="none" w:sz="0" w:space="0" w:color="auto"/>
        <w:left w:val="none" w:sz="0" w:space="0" w:color="auto"/>
        <w:bottom w:val="none" w:sz="0" w:space="0" w:color="auto"/>
        <w:right w:val="none" w:sz="0" w:space="0" w:color="auto"/>
      </w:divBdr>
    </w:div>
    <w:div w:id="1406413536">
      <w:bodyDiv w:val="1"/>
      <w:marLeft w:val="0"/>
      <w:marRight w:val="0"/>
      <w:marTop w:val="0"/>
      <w:marBottom w:val="0"/>
      <w:divBdr>
        <w:top w:val="none" w:sz="0" w:space="0" w:color="auto"/>
        <w:left w:val="none" w:sz="0" w:space="0" w:color="auto"/>
        <w:bottom w:val="none" w:sz="0" w:space="0" w:color="auto"/>
        <w:right w:val="none" w:sz="0" w:space="0" w:color="auto"/>
      </w:divBdr>
    </w:div>
    <w:div w:id="1436513154">
      <w:bodyDiv w:val="1"/>
      <w:marLeft w:val="0"/>
      <w:marRight w:val="0"/>
      <w:marTop w:val="0"/>
      <w:marBottom w:val="0"/>
      <w:divBdr>
        <w:top w:val="none" w:sz="0" w:space="0" w:color="auto"/>
        <w:left w:val="none" w:sz="0" w:space="0" w:color="auto"/>
        <w:bottom w:val="none" w:sz="0" w:space="0" w:color="auto"/>
        <w:right w:val="none" w:sz="0" w:space="0" w:color="auto"/>
      </w:divBdr>
    </w:div>
    <w:div w:id="1505315088">
      <w:bodyDiv w:val="1"/>
      <w:marLeft w:val="0"/>
      <w:marRight w:val="0"/>
      <w:marTop w:val="0"/>
      <w:marBottom w:val="0"/>
      <w:divBdr>
        <w:top w:val="none" w:sz="0" w:space="0" w:color="auto"/>
        <w:left w:val="none" w:sz="0" w:space="0" w:color="auto"/>
        <w:bottom w:val="none" w:sz="0" w:space="0" w:color="auto"/>
        <w:right w:val="none" w:sz="0" w:space="0" w:color="auto"/>
      </w:divBdr>
    </w:div>
    <w:div w:id="1680572238">
      <w:bodyDiv w:val="1"/>
      <w:marLeft w:val="0"/>
      <w:marRight w:val="0"/>
      <w:marTop w:val="0"/>
      <w:marBottom w:val="0"/>
      <w:divBdr>
        <w:top w:val="none" w:sz="0" w:space="0" w:color="auto"/>
        <w:left w:val="none" w:sz="0" w:space="0" w:color="auto"/>
        <w:bottom w:val="none" w:sz="0" w:space="0" w:color="auto"/>
        <w:right w:val="none" w:sz="0" w:space="0" w:color="auto"/>
      </w:divBdr>
    </w:div>
    <w:div w:id="1939825517">
      <w:bodyDiv w:val="1"/>
      <w:marLeft w:val="0"/>
      <w:marRight w:val="0"/>
      <w:marTop w:val="0"/>
      <w:marBottom w:val="0"/>
      <w:divBdr>
        <w:top w:val="none" w:sz="0" w:space="0" w:color="auto"/>
        <w:left w:val="none" w:sz="0" w:space="0" w:color="auto"/>
        <w:bottom w:val="none" w:sz="0" w:space="0" w:color="auto"/>
        <w:right w:val="none" w:sz="0" w:space="0" w:color="auto"/>
      </w:divBdr>
    </w:div>
    <w:div w:id="1945846814">
      <w:bodyDiv w:val="1"/>
      <w:marLeft w:val="0"/>
      <w:marRight w:val="0"/>
      <w:marTop w:val="0"/>
      <w:marBottom w:val="0"/>
      <w:divBdr>
        <w:top w:val="none" w:sz="0" w:space="0" w:color="auto"/>
        <w:left w:val="none" w:sz="0" w:space="0" w:color="auto"/>
        <w:bottom w:val="none" w:sz="0" w:space="0" w:color="auto"/>
        <w:right w:val="none" w:sz="0" w:space="0" w:color="auto"/>
      </w:divBdr>
    </w:div>
    <w:div w:id="1956863912">
      <w:bodyDiv w:val="1"/>
      <w:marLeft w:val="0"/>
      <w:marRight w:val="0"/>
      <w:marTop w:val="0"/>
      <w:marBottom w:val="0"/>
      <w:divBdr>
        <w:top w:val="none" w:sz="0" w:space="0" w:color="auto"/>
        <w:left w:val="none" w:sz="0" w:space="0" w:color="auto"/>
        <w:bottom w:val="none" w:sz="0" w:space="0" w:color="auto"/>
        <w:right w:val="none" w:sz="0" w:space="0" w:color="auto"/>
      </w:divBdr>
    </w:div>
    <w:div w:id="1959677251">
      <w:bodyDiv w:val="1"/>
      <w:marLeft w:val="0"/>
      <w:marRight w:val="0"/>
      <w:marTop w:val="0"/>
      <w:marBottom w:val="0"/>
      <w:divBdr>
        <w:top w:val="none" w:sz="0" w:space="0" w:color="auto"/>
        <w:left w:val="none" w:sz="0" w:space="0" w:color="auto"/>
        <w:bottom w:val="none" w:sz="0" w:space="0" w:color="auto"/>
        <w:right w:val="none" w:sz="0" w:space="0" w:color="auto"/>
      </w:divBdr>
    </w:div>
    <w:div w:id="2017657555">
      <w:bodyDiv w:val="1"/>
      <w:marLeft w:val="0"/>
      <w:marRight w:val="0"/>
      <w:marTop w:val="0"/>
      <w:marBottom w:val="0"/>
      <w:divBdr>
        <w:top w:val="none" w:sz="0" w:space="0" w:color="auto"/>
        <w:left w:val="none" w:sz="0" w:space="0" w:color="auto"/>
        <w:bottom w:val="none" w:sz="0" w:space="0" w:color="auto"/>
        <w:right w:val="none" w:sz="0" w:space="0" w:color="auto"/>
      </w:divBdr>
    </w:div>
    <w:div w:id="21191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Kaviyaa</dc:creator>
  <cp:keywords/>
  <dc:description/>
  <cp:lastModifiedBy>Annamalai, Kaviyaa</cp:lastModifiedBy>
  <cp:revision>6</cp:revision>
  <dcterms:created xsi:type="dcterms:W3CDTF">2025-02-23T09:31:00Z</dcterms:created>
  <dcterms:modified xsi:type="dcterms:W3CDTF">2025-02-23T18:52:00Z</dcterms:modified>
</cp:coreProperties>
</file>