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052D6" w14:textId="15135671" w:rsidR="00124FF4" w:rsidRPr="008548A5" w:rsidRDefault="00124FF4" w:rsidP="00124FF4">
      <w:pPr>
        <w:rPr>
          <w:b/>
          <w:bCs/>
          <w:sz w:val="40"/>
          <w:szCs w:val="40"/>
        </w:rPr>
      </w:pPr>
      <w:r w:rsidRPr="008548A5">
        <w:rPr>
          <w:b/>
          <w:bCs/>
          <w:sz w:val="40"/>
          <w:szCs w:val="40"/>
        </w:rPr>
        <w:t xml:space="preserve">Revenue Increase </w:t>
      </w:r>
      <w:r w:rsidR="008548A5">
        <w:rPr>
          <w:b/>
          <w:bCs/>
          <w:sz w:val="40"/>
          <w:szCs w:val="40"/>
        </w:rPr>
        <w:tab/>
      </w:r>
    </w:p>
    <w:p w14:paraId="2291FA84" w14:textId="77777777" w:rsidR="00124FF4" w:rsidRDefault="00124FF4" w:rsidP="00124FF4"/>
    <w:p w14:paraId="34A3E3D4" w14:textId="2856BCB3" w:rsidR="00124FF4" w:rsidRPr="00124FF4" w:rsidRDefault="00124FF4" w:rsidP="00124FF4">
      <w:r>
        <w:t>N</w:t>
      </w:r>
      <w:r w:rsidRPr="00124FF4">
        <w:t>vidia experienced a significant increase in revenue from 2023 to 2024, driven by several key factors:</w:t>
      </w:r>
    </w:p>
    <w:p w14:paraId="0E68181B" w14:textId="77777777" w:rsidR="00124FF4" w:rsidRPr="00124FF4" w:rsidRDefault="00124FF4" w:rsidP="00124FF4">
      <w:pPr>
        <w:numPr>
          <w:ilvl w:val="0"/>
          <w:numId w:val="1"/>
        </w:numPr>
      </w:pPr>
      <w:r w:rsidRPr="00124FF4">
        <w:rPr>
          <w:b/>
          <w:bCs/>
        </w:rPr>
        <w:t>Data Center Revenue</w:t>
      </w:r>
      <w:r w:rsidRPr="00124FF4">
        <w:t xml:space="preserve">: The most substantial contributor was the surge in data center revenue, which soared by 217% to $47.5 billion in fiscal 2024. This segment now accounts for </w:t>
      </w:r>
      <w:r w:rsidRPr="00124FF4">
        <w:rPr>
          <w:b/>
          <w:bCs/>
        </w:rPr>
        <w:t>78% of Nvidia’s total revenue</w:t>
      </w:r>
      <w:r w:rsidRPr="00124FF4">
        <w:t>. The demand for Nvidia’s specialized data center chips, particularly the H100 graphics processing unit (GPU), was a major driver. These chips are designed to handle AI workloads, which saw a massive increase in demand from both small AI start-ups and large tech giants.</w:t>
      </w:r>
    </w:p>
    <w:p w14:paraId="4A71805A" w14:textId="77777777" w:rsidR="00124FF4" w:rsidRPr="00124FF4" w:rsidRDefault="00124FF4" w:rsidP="00124FF4">
      <w:pPr>
        <w:numPr>
          <w:ilvl w:val="0"/>
          <w:numId w:val="1"/>
        </w:numPr>
      </w:pPr>
      <w:r w:rsidRPr="00124FF4">
        <w:rPr>
          <w:b/>
          <w:bCs/>
        </w:rPr>
        <w:t>Generative AI and Accelerated Computing</w:t>
      </w:r>
      <w:r w:rsidRPr="00124FF4">
        <w:t>: Nvidia’s CEO, Jensen Huang, highlighted that the tipping point for accelerated computing and generative AI significantly boosted demand across various sectors, including cloud services, enterprise software, and consumer internet companies. This widespread adoption of AI technologies contributed to the overall revenue growth.</w:t>
      </w:r>
    </w:p>
    <w:p w14:paraId="7F55CD8A" w14:textId="77777777" w:rsidR="00124FF4" w:rsidRDefault="00124FF4" w:rsidP="00124FF4">
      <w:pPr>
        <w:numPr>
          <w:ilvl w:val="0"/>
          <w:numId w:val="1"/>
        </w:numPr>
      </w:pPr>
      <w:r w:rsidRPr="00124FF4">
        <w:rPr>
          <w:b/>
          <w:bCs/>
        </w:rPr>
        <w:t>Product Innovations</w:t>
      </w:r>
      <w:r w:rsidRPr="00124FF4">
        <w:t>: Nvidia continued to innovate with new product cycles, including the introduction of the H200 GPU, which offers improved performance and energy efficiency compared to its predecessor. These innovations helped maintain Nvidia’s competitive edge and attract more customers.</w:t>
      </w:r>
    </w:p>
    <w:p w14:paraId="685009D3" w14:textId="77777777" w:rsidR="00124FF4" w:rsidRPr="00124FF4" w:rsidRDefault="00124FF4" w:rsidP="00124FF4">
      <w:pPr>
        <w:pStyle w:val="ListParagraph"/>
        <w:numPr>
          <w:ilvl w:val="0"/>
          <w:numId w:val="3"/>
        </w:numPr>
      </w:pPr>
      <w:r w:rsidRPr="00124FF4">
        <w:t>The Nvidia H200 Tensor Core GPU is a cutting-edge graphics processing unit designed to supercharge AI and high-performance computing (HPC) workloads. Here are some key features and benefits of the H200:</w:t>
      </w:r>
    </w:p>
    <w:p w14:paraId="6195D192" w14:textId="77777777" w:rsidR="00124FF4" w:rsidRPr="00124FF4" w:rsidRDefault="00124FF4" w:rsidP="00124FF4">
      <w:pPr>
        <w:pStyle w:val="ListParagraph"/>
        <w:numPr>
          <w:ilvl w:val="0"/>
          <w:numId w:val="3"/>
        </w:numPr>
      </w:pPr>
      <w:r w:rsidRPr="00124FF4">
        <w:rPr>
          <w:b/>
          <w:bCs/>
        </w:rPr>
        <w:t>High-Bandwidth Memory (HBM3e)</w:t>
      </w:r>
      <w:r w:rsidRPr="00124FF4">
        <w:t>: The H200 is the first GPU to feature HBM3e memory, offering 141 GB of high-bandwidth memory. </w:t>
      </w:r>
      <w:hyperlink r:id="rId5" w:tgtFrame="_blank" w:history="1">
        <w:r w:rsidRPr="00124FF4">
          <w:rPr>
            <w:rStyle w:val="Hyperlink"/>
            <w:color w:val="auto"/>
            <w:u w:val="none"/>
          </w:rPr>
          <w:t>This allows for faster data transfer and processing, which is crucial for AI and HPC applications</w:t>
        </w:r>
      </w:hyperlink>
      <w:hyperlink r:id="rId6" w:tgtFrame="_blank" w:history="1">
        <w:r w:rsidRPr="00124FF4">
          <w:rPr>
            <w:rStyle w:val="Hyperlink"/>
            <w:color w:val="auto"/>
            <w:u w:val="none"/>
            <w:vertAlign w:val="superscript"/>
          </w:rPr>
          <w:t>1</w:t>
        </w:r>
      </w:hyperlink>
      <w:r w:rsidRPr="00124FF4">
        <w:t>.</w:t>
      </w:r>
    </w:p>
    <w:p w14:paraId="4B95B9C9" w14:textId="77777777" w:rsidR="00124FF4" w:rsidRPr="00124FF4" w:rsidRDefault="00124FF4" w:rsidP="00124FF4">
      <w:pPr>
        <w:pStyle w:val="ListParagraph"/>
        <w:numPr>
          <w:ilvl w:val="0"/>
          <w:numId w:val="3"/>
        </w:numPr>
      </w:pPr>
      <w:hyperlink r:id="rId7" w:tgtFrame="_blank" w:history="1">
        <w:r w:rsidRPr="00124FF4">
          <w:rPr>
            <w:rStyle w:val="Hyperlink"/>
            <w:b/>
            <w:bCs/>
            <w:color w:val="auto"/>
            <w:u w:val="none"/>
          </w:rPr>
          <w:t>Performance</w:t>
        </w:r>
        <w:r w:rsidRPr="00124FF4">
          <w:rPr>
            <w:rStyle w:val="Hyperlink"/>
            <w:color w:val="auto"/>
            <w:u w:val="none"/>
          </w:rPr>
          <w:t>: The H200 delivers up to 2X faster performance compared to its predecessor, the H100, when handling large language models (LLMs) like Llama2 and GPT-3</w:t>
        </w:r>
      </w:hyperlink>
      <w:hyperlink r:id="rId8" w:tgtFrame="_blank" w:history="1">
        <w:r w:rsidRPr="00124FF4">
          <w:rPr>
            <w:rStyle w:val="Hyperlink"/>
            <w:color w:val="auto"/>
            <w:u w:val="none"/>
            <w:vertAlign w:val="superscript"/>
          </w:rPr>
          <w:t>1</w:t>
        </w:r>
      </w:hyperlink>
      <w:r w:rsidRPr="00124FF4">
        <w:t>. This makes it highly efficient for AI inference tasks.</w:t>
      </w:r>
    </w:p>
    <w:p w14:paraId="4A053580" w14:textId="77777777" w:rsidR="00124FF4" w:rsidRPr="00124FF4" w:rsidRDefault="00124FF4" w:rsidP="00124FF4">
      <w:pPr>
        <w:pStyle w:val="ListParagraph"/>
        <w:numPr>
          <w:ilvl w:val="0"/>
          <w:numId w:val="3"/>
        </w:numPr>
      </w:pPr>
      <w:hyperlink r:id="rId9" w:tgtFrame="_blank" w:history="1">
        <w:r w:rsidRPr="00124FF4">
          <w:rPr>
            <w:rStyle w:val="Hyperlink"/>
            <w:b/>
            <w:bCs/>
            <w:color w:val="auto"/>
            <w:u w:val="none"/>
          </w:rPr>
          <w:t>Memory Bandwidth</w:t>
        </w:r>
        <w:r w:rsidRPr="00124FF4">
          <w:rPr>
            <w:rStyle w:val="Hyperlink"/>
            <w:color w:val="auto"/>
            <w:u w:val="none"/>
          </w:rPr>
          <w:t>: With a memory bandwidth of 4.8 terabytes per second (TB/s), the H200 significantly reduces processing bottlenecks, enabling faster and more efficient data handling for memory-intensive applications</w:t>
        </w:r>
      </w:hyperlink>
      <w:hyperlink r:id="rId10" w:tgtFrame="_blank" w:history="1">
        <w:r w:rsidRPr="00124FF4">
          <w:rPr>
            <w:rStyle w:val="Hyperlink"/>
            <w:color w:val="auto"/>
            <w:u w:val="none"/>
            <w:vertAlign w:val="superscript"/>
          </w:rPr>
          <w:t>1</w:t>
        </w:r>
      </w:hyperlink>
      <w:r w:rsidRPr="00124FF4">
        <w:t>.</w:t>
      </w:r>
    </w:p>
    <w:p w14:paraId="44E25567" w14:textId="77777777" w:rsidR="00124FF4" w:rsidRPr="00124FF4" w:rsidRDefault="00124FF4" w:rsidP="00124FF4">
      <w:pPr>
        <w:pStyle w:val="ListParagraph"/>
        <w:numPr>
          <w:ilvl w:val="0"/>
          <w:numId w:val="3"/>
        </w:numPr>
      </w:pPr>
      <w:hyperlink r:id="rId11" w:tgtFrame="_blank" w:history="1">
        <w:r w:rsidRPr="00124FF4">
          <w:rPr>
            <w:rStyle w:val="Hyperlink"/>
            <w:b/>
            <w:bCs/>
            <w:color w:val="auto"/>
            <w:u w:val="none"/>
          </w:rPr>
          <w:t>Energy Efficiency</w:t>
        </w:r>
        <w:r w:rsidRPr="00124FF4">
          <w:rPr>
            <w:rStyle w:val="Hyperlink"/>
            <w:color w:val="auto"/>
            <w:u w:val="none"/>
          </w:rPr>
          <w:t>: The H200 offers improved energy efficiency, which helps reduce the total cost of ownership for data centers and other large-scale computing environments</w:t>
        </w:r>
      </w:hyperlink>
      <w:hyperlink r:id="rId12" w:tgtFrame="_blank" w:history="1">
        <w:r w:rsidRPr="00124FF4">
          <w:rPr>
            <w:rStyle w:val="Hyperlink"/>
            <w:color w:val="auto"/>
            <w:u w:val="none"/>
            <w:vertAlign w:val="superscript"/>
          </w:rPr>
          <w:t>1</w:t>
        </w:r>
      </w:hyperlink>
      <w:r w:rsidRPr="00124FF4">
        <w:t>.</w:t>
      </w:r>
    </w:p>
    <w:p w14:paraId="39F32B75" w14:textId="77777777" w:rsidR="00124FF4" w:rsidRPr="00124FF4" w:rsidRDefault="00124FF4" w:rsidP="00124FF4">
      <w:pPr>
        <w:pStyle w:val="ListParagraph"/>
        <w:numPr>
          <w:ilvl w:val="0"/>
          <w:numId w:val="3"/>
        </w:numPr>
      </w:pPr>
      <w:r w:rsidRPr="00124FF4">
        <w:rPr>
          <w:b/>
          <w:bCs/>
        </w:rPr>
        <w:t>Applications</w:t>
      </w:r>
      <w:r w:rsidRPr="00124FF4">
        <w:t>: The H200 is designed for a wide range of applications, including generative AI, scientific computing, simulations, and more. </w:t>
      </w:r>
      <w:hyperlink r:id="rId13" w:tgtFrame="_blank" w:history="1">
        <w:r w:rsidRPr="00124FF4">
          <w:rPr>
            <w:rStyle w:val="Hyperlink"/>
            <w:color w:val="auto"/>
            <w:u w:val="none"/>
          </w:rPr>
          <w:t>Its advanced capabilities make it suitable for both enterprise and research purposes</w:t>
        </w:r>
      </w:hyperlink>
      <w:hyperlink r:id="rId14" w:tgtFrame="_blank" w:history="1">
        <w:r w:rsidRPr="00124FF4">
          <w:rPr>
            <w:rStyle w:val="Hyperlink"/>
            <w:color w:val="auto"/>
            <w:u w:val="none"/>
            <w:vertAlign w:val="superscript"/>
          </w:rPr>
          <w:t>1</w:t>
        </w:r>
      </w:hyperlink>
      <w:r w:rsidRPr="00124FF4">
        <w:t>.</w:t>
      </w:r>
    </w:p>
    <w:p w14:paraId="40D6F594" w14:textId="77777777" w:rsidR="00124FF4" w:rsidRPr="00124FF4" w:rsidRDefault="00124FF4" w:rsidP="00124FF4">
      <w:pPr>
        <w:pStyle w:val="ListParagraph"/>
        <w:numPr>
          <w:ilvl w:val="0"/>
          <w:numId w:val="3"/>
        </w:numPr>
      </w:pPr>
      <w:r w:rsidRPr="00124FF4">
        <w:t>Overall, the H200 represents a significant advancement in GPU technology, providing the performance and memory capabilities needed to handle the most demanding AI and HPC workloads.</w:t>
      </w:r>
    </w:p>
    <w:p w14:paraId="05597C2C" w14:textId="77777777" w:rsidR="00124FF4" w:rsidRPr="00124FF4" w:rsidRDefault="00124FF4" w:rsidP="00124FF4"/>
    <w:p w14:paraId="19BB26F7" w14:textId="77777777" w:rsidR="00124FF4" w:rsidRDefault="00124FF4" w:rsidP="00124FF4">
      <w:pPr>
        <w:numPr>
          <w:ilvl w:val="0"/>
          <w:numId w:val="1"/>
        </w:numPr>
      </w:pPr>
      <w:r w:rsidRPr="00124FF4">
        <w:rPr>
          <w:b/>
          <w:bCs/>
        </w:rPr>
        <w:t>Vertical Industries</w:t>
      </w:r>
      <w:r w:rsidRPr="00124FF4">
        <w:t>: Nvidia’s data center platform saw increased adoption in vertical industries such as automotive, financial services, and healthcare, which reached multibillion-dollar levels.</w:t>
      </w:r>
    </w:p>
    <w:tbl>
      <w:tblPr>
        <w:tblW w:w="9360" w:type="dxa"/>
        <w:tblLook w:val="0420" w:firstRow="1" w:lastRow="0" w:firstColumn="0" w:lastColumn="0" w:noHBand="0" w:noVBand="1"/>
      </w:tblPr>
      <w:tblGrid>
        <w:gridCol w:w="9360"/>
      </w:tblGrid>
      <w:tr w:rsidR="008548A5" w:rsidRPr="008548A5" w14:paraId="52C7C943" w14:textId="77777777" w:rsidTr="008548A5">
        <w:trPr>
          <w:trHeight w:val="290"/>
        </w:trPr>
        <w:tc>
          <w:tcPr>
            <w:tcW w:w="9360" w:type="dxa"/>
            <w:tcBorders>
              <w:top w:val="nil"/>
              <w:left w:val="nil"/>
              <w:bottom w:val="nil"/>
              <w:right w:val="nil"/>
            </w:tcBorders>
            <w:shd w:val="clear" w:color="auto" w:fill="auto"/>
            <w:noWrap/>
            <w:vAlign w:val="bottom"/>
            <w:hideMark/>
          </w:tcPr>
          <w:p w14:paraId="1755D48C" w14:textId="77777777" w:rsidR="008548A5" w:rsidRPr="008548A5" w:rsidRDefault="008548A5" w:rsidP="008548A5">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8548A5">
              <w:rPr>
                <w:rFonts w:ascii="Aptos Narrow" w:eastAsia="Times New Roman" w:hAnsi="Aptos Narrow" w:cs="Times New Roman"/>
                <w:b/>
                <w:bCs/>
                <w:color w:val="000000"/>
                <w:kern w:val="0"/>
                <w14:ligatures w14:val="none"/>
              </w:rPr>
              <w:t>Automotive Industry</w:t>
            </w:r>
            <w:r w:rsidRPr="008548A5">
              <w:rPr>
                <w:rFonts w:ascii="Aptos Narrow" w:eastAsia="Times New Roman" w:hAnsi="Aptos Narrow" w:cs="Times New Roman"/>
                <w:color w:val="000000"/>
                <w:kern w:val="0"/>
                <w14:ligatures w14:val="none"/>
              </w:rPr>
              <w:t>: Nvidia’s technology is increasingly used in the automotive sector for autonomous driving, advanced driver-assistance systems (ADAS), and in-car AI systems. The company’s DRIVE platform, which includes hardware and software solutions for autonomous vehicles, has seen significant adoption from major car manufacturers and tech companies.</w:t>
            </w:r>
          </w:p>
        </w:tc>
      </w:tr>
      <w:tr w:rsidR="008548A5" w:rsidRPr="008548A5" w14:paraId="4F9DA2F1" w14:textId="77777777" w:rsidTr="008548A5">
        <w:trPr>
          <w:trHeight w:val="290"/>
        </w:trPr>
        <w:tc>
          <w:tcPr>
            <w:tcW w:w="9360" w:type="dxa"/>
            <w:tcBorders>
              <w:top w:val="nil"/>
              <w:left w:val="nil"/>
              <w:bottom w:val="nil"/>
              <w:right w:val="nil"/>
            </w:tcBorders>
            <w:shd w:val="clear" w:color="auto" w:fill="auto"/>
            <w:noWrap/>
            <w:vAlign w:val="bottom"/>
            <w:hideMark/>
          </w:tcPr>
          <w:p w14:paraId="5580F757" w14:textId="77777777" w:rsidR="008548A5" w:rsidRPr="008548A5" w:rsidRDefault="008548A5" w:rsidP="008548A5">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8548A5">
              <w:rPr>
                <w:rFonts w:ascii="Aptos Narrow" w:eastAsia="Times New Roman" w:hAnsi="Aptos Narrow" w:cs="Times New Roman"/>
                <w:b/>
                <w:bCs/>
                <w:color w:val="000000"/>
                <w:kern w:val="0"/>
                <w14:ligatures w14:val="none"/>
              </w:rPr>
              <w:t>Financial Services</w:t>
            </w:r>
            <w:r w:rsidRPr="008548A5">
              <w:rPr>
                <w:rFonts w:ascii="Aptos Narrow" w:eastAsia="Times New Roman" w:hAnsi="Aptos Narrow" w:cs="Times New Roman"/>
                <w:color w:val="000000"/>
                <w:kern w:val="0"/>
                <w14:ligatures w14:val="none"/>
              </w:rPr>
              <w:t>: In the financial sector, Nvidia’s GPUs are utilized for high-frequency trading, risk management, fraud detection, and other AI-driven applications. The ability to process large volumes of data quickly and efficiently makes Nvidia’s technology highly valuable for financial institutions.</w:t>
            </w:r>
          </w:p>
        </w:tc>
      </w:tr>
      <w:tr w:rsidR="008548A5" w:rsidRPr="008548A5" w14:paraId="001EEFD3" w14:textId="77777777" w:rsidTr="008548A5">
        <w:trPr>
          <w:trHeight w:val="290"/>
        </w:trPr>
        <w:tc>
          <w:tcPr>
            <w:tcW w:w="9360" w:type="dxa"/>
            <w:tcBorders>
              <w:top w:val="nil"/>
              <w:left w:val="nil"/>
              <w:bottom w:val="nil"/>
              <w:right w:val="nil"/>
            </w:tcBorders>
            <w:shd w:val="clear" w:color="auto" w:fill="auto"/>
            <w:noWrap/>
            <w:vAlign w:val="bottom"/>
            <w:hideMark/>
          </w:tcPr>
          <w:p w14:paraId="6D80C553" w14:textId="77777777" w:rsidR="008548A5" w:rsidRPr="008548A5" w:rsidRDefault="008548A5" w:rsidP="008548A5">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8548A5">
              <w:rPr>
                <w:rFonts w:ascii="Aptos Narrow" w:eastAsia="Times New Roman" w:hAnsi="Aptos Narrow" w:cs="Times New Roman"/>
                <w:b/>
                <w:bCs/>
                <w:color w:val="000000"/>
                <w:kern w:val="0"/>
                <w14:ligatures w14:val="none"/>
              </w:rPr>
              <w:t>Healthcare</w:t>
            </w:r>
            <w:r w:rsidRPr="008548A5">
              <w:rPr>
                <w:rFonts w:ascii="Aptos Narrow" w:eastAsia="Times New Roman" w:hAnsi="Aptos Narrow" w:cs="Times New Roman"/>
                <w:color w:val="000000"/>
                <w:kern w:val="0"/>
                <w14:ligatures w14:val="none"/>
              </w:rPr>
              <w:t>: Nvidia’s AI and accelerated computing solutions are transforming healthcare by enabling advanced medical imaging, drug discovery, genomics, and personalized medicine. The company’s Clara platform, which provides AI tools for medical imaging and genomics, has been widely adopted by healthcare providers and research institutions.</w:t>
            </w:r>
          </w:p>
        </w:tc>
      </w:tr>
      <w:tr w:rsidR="008548A5" w:rsidRPr="008548A5" w14:paraId="4FB7E1C8" w14:textId="77777777" w:rsidTr="008548A5">
        <w:trPr>
          <w:trHeight w:val="290"/>
        </w:trPr>
        <w:tc>
          <w:tcPr>
            <w:tcW w:w="9360" w:type="dxa"/>
            <w:tcBorders>
              <w:top w:val="nil"/>
              <w:left w:val="nil"/>
              <w:bottom w:val="nil"/>
              <w:right w:val="nil"/>
            </w:tcBorders>
            <w:shd w:val="clear" w:color="auto" w:fill="auto"/>
            <w:noWrap/>
            <w:vAlign w:val="bottom"/>
            <w:hideMark/>
          </w:tcPr>
          <w:p w14:paraId="205AF496" w14:textId="77777777" w:rsidR="008548A5" w:rsidRDefault="008548A5" w:rsidP="008548A5">
            <w:pPr>
              <w:pStyle w:val="ListParagraph"/>
              <w:spacing w:after="0" w:line="240" w:lineRule="auto"/>
              <w:rPr>
                <w:rFonts w:ascii="Aptos Narrow" w:eastAsia="Times New Roman" w:hAnsi="Aptos Narrow" w:cs="Times New Roman"/>
                <w:color w:val="000000"/>
                <w:kern w:val="0"/>
                <w14:ligatures w14:val="none"/>
              </w:rPr>
            </w:pPr>
          </w:p>
          <w:p w14:paraId="3DE33011" w14:textId="1040C890" w:rsidR="008548A5" w:rsidRPr="008548A5" w:rsidRDefault="008548A5" w:rsidP="008548A5">
            <w:pPr>
              <w:pStyle w:val="ListParagraph"/>
              <w:spacing w:after="0" w:line="240" w:lineRule="auto"/>
              <w:rPr>
                <w:rFonts w:ascii="Aptos Narrow" w:eastAsia="Times New Roman" w:hAnsi="Aptos Narrow" w:cs="Times New Roman"/>
                <w:color w:val="000000"/>
                <w:kern w:val="0"/>
                <w14:ligatures w14:val="none"/>
              </w:rPr>
            </w:pPr>
            <w:r w:rsidRPr="008548A5">
              <w:rPr>
                <w:rFonts w:ascii="Aptos Narrow" w:eastAsia="Times New Roman" w:hAnsi="Aptos Narrow" w:cs="Times New Roman"/>
                <w:color w:val="000000"/>
                <w:kern w:val="0"/>
                <w14:ligatures w14:val="none"/>
              </w:rPr>
              <w:t>These vertical industries have reached multibillion-dollar levels, significantly contributing to Nvidia’s overall revenue growth. The adoption of Nvidia’s technology in these sectors highlights the versatility and impact of their AI and accelerated computing solutions across different fields.</w:t>
            </w:r>
          </w:p>
        </w:tc>
      </w:tr>
    </w:tbl>
    <w:p w14:paraId="1813AF84" w14:textId="77777777" w:rsidR="00124FF4" w:rsidRPr="00124FF4" w:rsidRDefault="00124FF4" w:rsidP="00124FF4">
      <w:pPr>
        <w:ind w:left="720"/>
      </w:pPr>
    </w:p>
    <w:p w14:paraId="3BD280B6" w14:textId="77777777" w:rsidR="00124FF4" w:rsidRPr="00124FF4" w:rsidRDefault="00124FF4" w:rsidP="00124FF4">
      <w:pPr>
        <w:numPr>
          <w:ilvl w:val="0"/>
          <w:numId w:val="1"/>
        </w:numPr>
      </w:pPr>
      <w:r w:rsidRPr="00124FF4">
        <w:rPr>
          <w:b/>
          <w:bCs/>
        </w:rPr>
        <w:t>Overall Financial Performance</w:t>
      </w:r>
      <w:r w:rsidRPr="00124FF4">
        <w:t>: For fiscal 2024, Nvidia reported a record revenue of $60.9 billion, up 126% from the previous year. The company’s gross margin also improved, and operating income saw a significant increase, reflecting the overall financial health and growth of the company.</w:t>
      </w:r>
    </w:p>
    <w:p w14:paraId="5FA83A58" w14:textId="58B6CF0A" w:rsidR="00124FF4" w:rsidRDefault="00124FF4" w:rsidP="00006B94">
      <w:r w:rsidRPr="00124FF4">
        <w:t>These factors collectively contributed to Nvidia’s impressive revenue growth from 2023 to 2024.</w:t>
      </w:r>
    </w:p>
    <w:p w14:paraId="7949B2BD" w14:textId="77777777" w:rsidR="00D6276F" w:rsidRDefault="00D6276F" w:rsidP="00006B94"/>
    <w:p w14:paraId="0D4FF447" w14:textId="0EFE3B17" w:rsidR="00D6276F" w:rsidRDefault="00D6276F" w:rsidP="00006B94">
      <w:r w:rsidRPr="00D6276F">
        <w:drawing>
          <wp:inline distT="0" distB="0" distL="0" distR="0" wp14:anchorId="4A2D9DAC" wp14:editId="1FC40129">
            <wp:extent cx="5943600" cy="2015490"/>
            <wp:effectExtent l="0" t="0" r="0" b="3810"/>
            <wp:docPr id="95785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51169" name=""/>
                    <pic:cNvPicPr/>
                  </pic:nvPicPr>
                  <pic:blipFill>
                    <a:blip r:embed="rId15"/>
                    <a:stretch>
                      <a:fillRect/>
                    </a:stretch>
                  </pic:blipFill>
                  <pic:spPr>
                    <a:xfrm>
                      <a:off x="0" y="0"/>
                      <a:ext cx="5943600" cy="2015490"/>
                    </a:xfrm>
                    <a:prstGeom prst="rect">
                      <a:avLst/>
                    </a:prstGeom>
                  </pic:spPr>
                </pic:pic>
              </a:graphicData>
            </a:graphic>
          </wp:inline>
        </w:drawing>
      </w:r>
    </w:p>
    <w:p w14:paraId="30D49A14" w14:textId="77777777" w:rsidR="00985DEB" w:rsidRDefault="00985DEB" w:rsidP="00006B94"/>
    <w:p w14:paraId="79DBDCAE" w14:textId="77777777" w:rsidR="00985DEB" w:rsidRDefault="00985DEB" w:rsidP="00006B94"/>
    <w:p w14:paraId="66A848A3" w14:textId="641B1AE0" w:rsidR="00985DEB" w:rsidRDefault="00985DEB" w:rsidP="00006B94">
      <w:r w:rsidRPr="00985DEB">
        <w:lastRenderedPageBreak/>
        <w:drawing>
          <wp:inline distT="0" distB="0" distL="0" distR="0" wp14:anchorId="7EE2EDC5" wp14:editId="39C46DA4">
            <wp:extent cx="5943600" cy="2886075"/>
            <wp:effectExtent l="0" t="0" r="0" b="9525"/>
            <wp:docPr id="1027063862"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3862" name="Picture 1" descr="A graph of a bar graph&#10;&#10;AI-generated content may be incorrect."/>
                    <pic:cNvPicPr/>
                  </pic:nvPicPr>
                  <pic:blipFill>
                    <a:blip r:embed="rId16"/>
                    <a:stretch>
                      <a:fillRect/>
                    </a:stretch>
                  </pic:blipFill>
                  <pic:spPr>
                    <a:xfrm>
                      <a:off x="0" y="0"/>
                      <a:ext cx="5943600" cy="2886075"/>
                    </a:xfrm>
                    <a:prstGeom prst="rect">
                      <a:avLst/>
                    </a:prstGeom>
                  </pic:spPr>
                </pic:pic>
              </a:graphicData>
            </a:graphic>
          </wp:inline>
        </w:drawing>
      </w:r>
    </w:p>
    <w:sectPr w:rsidR="0098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03B7"/>
    <w:multiLevelType w:val="hybridMultilevel"/>
    <w:tmpl w:val="D1F2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325C4"/>
    <w:multiLevelType w:val="hybridMultilevel"/>
    <w:tmpl w:val="04E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54BF3"/>
    <w:multiLevelType w:val="multilevel"/>
    <w:tmpl w:val="CFD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B3722"/>
    <w:multiLevelType w:val="hybridMultilevel"/>
    <w:tmpl w:val="B1328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F6EA0"/>
    <w:multiLevelType w:val="multilevel"/>
    <w:tmpl w:val="6944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4814">
    <w:abstractNumId w:val="2"/>
  </w:num>
  <w:num w:numId="2" w16cid:durableId="135537635">
    <w:abstractNumId w:val="0"/>
  </w:num>
  <w:num w:numId="3" w16cid:durableId="1180241109">
    <w:abstractNumId w:val="3"/>
  </w:num>
  <w:num w:numId="4" w16cid:durableId="146358033">
    <w:abstractNumId w:val="4"/>
  </w:num>
  <w:num w:numId="5" w16cid:durableId="140595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4"/>
    <w:rsid w:val="00006B94"/>
    <w:rsid w:val="00080735"/>
    <w:rsid w:val="00124FF4"/>
    <w:rsid w:val="001B6369"/>
    <w:rsid w:val="008548A5"/>
    <w:rsid w:val="00966CB4"/>
    <w:rsid w:val="00985DEB"/>
    <w:rsid w:val="00D6276F"/>
    <w:rsid w:val="00DB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E30D"/>
  <w15:chartTrackingRefBased/>
  <w15:docId w15:val="{687BFBEB-127E-4889-9620-912B4B14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FF4"/>
    <w:rPr>
      <w:rFonts w:eastAsiaTheme="majorEastAsia" w:cstheme="majorBidi"/>
      <w:color w:val="272727" w:themeColor="text1" w:themeTint="D8"/>
    </w:rPr>
  </w:style>
  <w:style w:type="paragraph" w:styleId="Title">
    <w:name w:val="Title"/>
    <w:basedOn w:val="Normal"/>
    <w:next w:val="Normal"/>
    <w:link w:val="TitleChar"/>
    <w:uiPriority w:val="10"/>
    <w:qFormat/>
    <w:rsid w:val="0012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FF4"/>
    <w:pPr>
      <w:spacing w:before="160"/>
      <w:jc w:val="center"/>
    </w:pPr>
    <w:rPr>
      <w:i/>
      <w:iCs/>
      <w:color w:val="404040" w:themeColor="text1" w:themeTint="BF"/>
    </w:rPr>
  </w:style>
  <w:style w:type="character" w:customStyle="1" w:styleId="QuoteChar">
    <w:name w:val="Quote Char"/>
    <w:basedOn w:val="DefaultParagraphFont"/>
    <w:link w:val="Quote"/>
    <w:uiPriority w:val="29"/>
    <w:rsid w:val="00124FF4"/>
    <w:rPr>
      <w:i/>
      <w:iCs/>
      <w:color w:val="404040" w:themeColor="text1" w:themeTint="BF"/>
    </w:rPr>
  </w:style>
  <w:style w:type="paragraph" w:styleId="ListParagraph">
    <w:name w:val="List Paragraph"/>
    <w:basedOn w:val="Normal"/>
    <w:uiPriority w:val="34"/>
    <w:qFormat/>
    <w:rsid w:val="00124FF4"/>
    <w:pPr>
      <w:ind w:left="720"/>
      <w:contextualSpacing/>
    </w:pPr>
  </w:style>
  <w:style w:type="character" w:styleId="IntenseEmphasis">
    <w:name w:val="Intense Emphasis"/>
    <w:basedOn w:val="DefaultParagraphFont"/>
    <w:uiPriority w:val="21"/>
    <w:qFormat/>
    <w:rsid w:val="00124FF4"/>
    <w:rPr>
      <w:i/>
      <w:iCs/>
      <w:color w:val="0F4761" w:themeColor="accent1" w:themeShade="BF"/>
    </w:rPr>
  </w:style>
  <w:style w:type="paragraph" w:styleId="IntenseQuote">
    <w:name w:val="Intense Quote"/>
    <w:basedOn w:val="Normal"/>
    <w:next w:val="Normal"/>
    <w:link w:val="IntenseQuoteChar"/>
    <w:uiPriority w:val="30"/>
    <w:qFormat/>
    <w:rsid w:val="0012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FF4"/>
    <w:rPr>
      <w:i/>
      <w:iCs/>
      <w:color w:val="0F4761" w:themeColor="accent1" w:themeShade="BF"/>
    </w:rPr>
  </w:style>
  <w:style w:type="character" w:styleId="IntenseReference">
    <w:name w:val="Intense Reference"/>
    <w:basedOn w:val="DefaultParagraphFont"/>
    <w:uiPriority w:val="32"/>
    <w:qFormat/>
    <w:rsid w:val="00124FF4"/>
    <w:rPr>
      <w:b/>
      <w:bCs/>
      <w:smallCaps/>
      <w:color w:val="0F4761" w:themeColor="accent1" w:themeShade="BF"/>
      <w:spacing w:val="5"/>
    </w:rPr>
  </w:style>
  <w:style w:type="character" w:styleId="Hyperlink">
    <w:name w:val="Hyperlink"/>
    <w:basedOn w:val="DefaultParagraphFont"/>
    <w:uiPriority w:val="99"/>
    <w:unhideWhenUsed/>
    <w:rsid w:val="00124FF4"/>
    <w:rPr>
      <w:color w:val="467886" w:themeColor="hyperlink"/>
      <w:u w:val="single"/>
    </w:rPr>
  </w:style>
  <w:style w:type="character" w:styleId="UnresolvedMention">
    <w:name w:val="Unresolved Mention"/>
    <w:basedOn w:val="DefaultParagraphFont"/>
    <w:uiPriority w:val="99"/>
    <w:semiHidden/>
    <w:unhideWhenUsed/>
    <w:rsid w:val="00124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84523">
      <w:bodyDiv w:val="1"/>
      <w:marLeft w:val="0"/>
      <w:marRight w:val="0"/>
      <w:marTop w:val="0"/>
      <w:marBottom w:val="0"/>
      <w:divBdr>
        <w:top w:val="none" w:sz="0" w:space="0" w:color="auto"/>
        <w:left w:val="none" w:sz="0" w:space="0" w:color="auto"/>
        <w:bottom w:val="none" w:sz="0" w:space="0" w:color="auto"/>
        <w:right w:val="none" w:sz="0" w:space="0" w:color="auto"/>
      </w:divBdr>
    </w:div>
    <w:div w:id="312947143">
      <w:bodyDiv w:val="1"/>
      <w:marLeft w:val="0"/>
      <w:marRight w:val="0"/>
      <w:marTop w:val="0"/>
      <w:marBottom w:val="0"/>
      <w:divBdr>
        <w:top w:val="none" w:sz="0" w:space="0" w:color="auto"/>
        <w:left w:val="none" w:sz="0" w:space="0" w:color="auto"/>
        <w:bottom w:val="none" w:sz="0" w:space="0" w:color="auto"/>
        <w:right w:val="none" w:sz="0" w:space="0" w:color="auto"/>
      </w:divBdr>
    </w:div>
    <w:div w:id="406147002">
      <w:bodyDiv w:val="1"/>
      <w:marLeft w:val="0"/>
      <w:marRight w:val="0"/>
      <w:marTop w:val="0"/>
      <w:marBottom w:val="0"/>
      <w:divBdr>
        <w:top w:val="none" w:sz="0" w:space="0" w:color="auto"/>
        <w:left w:val="none" w:sz="0" w:space="0" w:color="auto"/>
        <w:bottom w:val="none" w:sz="0" w:space="0" w:color="auto"/>
        <w:right w:val="none" w:sz="0" w:space="0" w:color="auto"/>
      </w:divBdr>
    </w:div>
    <w:div w:id="585262409">
      <w:bodyDiv w:val="1"/>
      <w:marLeft w:val="0"/>
      <w:marRight w:val="0"/>
      <w:marTop w:val="0"/>
      <w:marBottom w:val="0"/>
      <w:divBdr>
        <w:top w:val="none" w:sz="0" w:space="0" w:color="auto"/>
        <w:left w:val="none" w:sz="0" w:space="0" w:color="auto"/>
        <w:bottom w:val="none" w:sz="0" w:space="0" w:color="auto"/>
        <w:right w:val="none" w:sz="0" w:space="0" w:color="auto"/>
      </w:divBdr>
    </w:div>
    <w:div w:id="633023420">
      <w:bodyDiv w:val="1"/>
      <w:marLeft w:val="0"/>
      <w:marRight w:val="0"/>
      <w:marTop w:val="0"/>
      <w:marBottom w:val="0"/>
      <w:divBdr>
        <w:top w:val="none" w:sz="0" w:space="0" w:color="auto"/>
        <w:left w:val="none" w:sz="0" w:space="0" w:color="auto"/>
        <w:bottom w:val="none" w:sz="0" w:space="0" w:color="auto"/>
        <w:right w:val="none" w:sz="0" w:space="0" w:color="auto"/>
      </w:divBdr>
    </w:div>
    <w:div w:id="957293380">
      <w:bodyDiv w:val="1"/>
      <w:marLeft w:val="0"/>
      <w:marRight w:val="0"/>
      <w:marTop w:val="0"/>
      <w:marBottom w:val="0"/>
      <w:divBdr>
        <w:top w:val="none" w:sz="0" w:space="0" w:color="auto"/>
        <w:left w:val="none" w:sz="0" w:space="0" w:color="auto"/>
        <w:bottom w:val="none" w:sz="0" w:space="0" w:color="auto"/>
        <w:right w:val="none" w:sz="0" w:space="0" w:color="auto"/>
      </w:divBdr>
    </w:div>
    <w:div w:id="1065302851">
      <w:bodyDiv w:val="1"/>
      <w:marLeft w:val="0"/>
      <w:marRight w:val="0"/>
      <w:marTop w:val="0"/>
      <w:marBottom w:val="0"/>
      <w:divBdr>
        <w:top w:val="none" w:sz="0" w:space="0" w:color="auto"/>
        <w:left w:val="none" w:sz="0" w:space="0" w:color="auto"/>
        <w:bottom w:val="none" w:sz="0" w:space="0" w:color="auto"/>
        <w:right w:val="none" w:sz="0" w:space="0" w:color="auto"/>
      </w:divBdr>
    </w:div>
    <w:div w:id="1370564845">
      <w:bodyDiv w:val="1"/>
      <w:marLeft w:val="0"/>
      <w:marRight w:val="0"/>
      <w:marTop w:val="0"/>
      <w:marBottom w:val="0"/>
      <w:divBdr>
        <w:top w:val="none" w:sz="0" w:space="0" w:color="auto"/>
        <w:left w:val="none" w:sz="0" w:space="0" w:color="auto"/>
        <w:bottom w:val="none" w:sz="0" w:space="0" w:color="auto"/>
        <w:right w:val="none" w:sz="0" w:space="0" w:color="auto"/>
      </w:divBdr>
    </w:div>
    <w:div w:id="1422292056">
      <w:bodyDiv w:val="1"/>
      <w:marLeft w:val="0"/>
      <w:marRight w:val="0"/>
      <w:marTop w:val="0"/>
      <w:marBottom w:val="0"/>
      <w:divBdr>
        <w:top w:val="none" w:sz="0" w:space="0" w:color="auto"/>
        <w:left w:val="none" w:sz="0" w:space="0" w:color="auto"/>
        <w:bottom w:val="none" w:sz="0" w:space="0" w:color="auto"/>
        <w:right w:val="none" w:sz="0" w:space="0" w:color="auto"/>
      </w:divBdr>
    </w:div>
    <w:div w:id="1875269258">
      <w:bodyDiv w:val="1"/>
      <w:marLeft w:val="0"/>
      <w:marRight w:val="0"/>
      <w:marTop w:val="0"/>
      <w:marBottom w:val="0"/>
      <w:divBdr>
        <w:top w:val="none" w:sz="0" w:space="0" w:color="auto"/>
        <w:left w:val="none" w:sz="0" w:space="0" w:color="auto"/>
        <w:bottom w:val="none" w:sz="0" w:space="0" w:color="auto"/>
        <w:right w:val="none" w:sz="0" w:space="0" w:color="auto"/>
      </w:divBdr>
    </w:div>
    <w:div w:id="20649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data-center/h200/" TargetMode="External"/><Relationship Id="rId13" Type="http://schemas.openxmlformats.org/officeDocument/2006/relationships/hyperlink" Target="https://www.nvidia.com/en-us/data-center/h2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vidia.com/en-us/data-center/h200/" TargetMode="External"/><Relationship Id="rId12" Type="http://schemas.openxmlformats.org/officeDocument/2006/relationships/hyperlink" Target="https://www.nvidia.com/en-us/data-center/h2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nvidia.com/en-us/data-center/h200/" TargetMode="External"/><Relationship Id="rId11" Type="http://schemas.openxmlformats.org/officeDocument/2006/relationships/hyperlink" Target="https://www.nvidia.com/en-us/data-center/h200/" TargetMode="External"/><Relationship Id="rId5" Type="http://schemas.openxmlformats.org/officeDocument/2006/relationships/hyperlink" Target="https://www.nvidia.com/en-us/data-center/h200/" TargetMode="External"/><Relationship Id="rId15" Type="http://schemas.openxmlformats.org/officeDocument/2006/relationships/image" Target="media/image1.png"/><Relationship Id="rId10" Type="http://schemas.openxmlformats.org/officeDocument/2006/relationships/hyperlink" Target="https://www.nvidia.com/en-us/data-center/h200/" TargetMode="External"/><Relationship Id="rId4" Type="http://schemas.openxmlformats.org/officeDocument/2006/relationships/webSettings" Target="webSettings.xml"/><Relationship Id="rId9" Type="http://schemas.openxmlformats.org/officeDocument/2006/relationships/hyperlink" Target="https://www.nvidia.com/en-us/data-center/h200/" TargetMode="External"/><Relationship Id="rId14" Type="http://schemas.openxmlformats.org/officeDocument/2006/relationships/hyperlink" Target="https://www.nvidia.com/en-us/data-center/h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Jaivardhan Singh</dc:creator>
  <cp:keywords/>
  <dc:description/>
  <cp:lastModifiedBy>Rathore, Jaivardhan Singh</cp:lastModifiedBy>
  <cp:revision>6</cp:revision>
  <dcterms:created xsi:type="dcterms:W3CDTF">2025-02-26T07:04:00Z</dcterms:created>
  <dcterms:modified xsi:type="dcterms:W3CDTF">2025-02-26T07:23:00Z</dcterms:modified>
</cp:coreProperties>
</file>