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mallCaps w:val="0"/>
          <w:sz w:val="34"/>
        </w:rPr>
        <w:t>Design and Implementation of an AI-Driven Self-Adaptive Digital Twin for a Simulated 5G Radio Access Network</w:t>
      </w:r>
    </w:p>
    <w:p>
      <w:pPr>
        <w:spacing w:before="160" w:after="40"/>
        <w:jc w:val="center"/>
      </w:pPr>
      <w:r>
        <w:rPr>
          <w:rFonts w:ascii="Times New Roman" w:hAnsi="Times New Roman" w:eastAsia="Times New Roman"/>
          <w:b w:val="0"/>
          <w:i w:val="0"/>
          <w:smallCaps w:val="0"/>
          <w:sz w:val="23"/>
        </w:rPr>
        <w:t>Varun A L, Mithilesh B, Tarakesh M, Harieharan R, Jai Athitya</w:t>
      </w:r>
    </w:p>
    <w:p>
      <w:pPr>
        <w:spacing w:after="280"/>
        <w:jc w:val="center"/>
      </w:pPr>
      <w:r>
        <w:rPr>
          <w:rFonts w:ascii="Times New Roman" w:hAnsi="Times New Roman" w:eastAsia="Times New Roman"/>
          <w:b w:val="0"/>
          <w:i/>
          <w:smallCaps w:val="0"/>
          <w:sz w:val="20"/>
        </w:rPr>
        <w:t>Department of Information Technology, Madras Institute of Technology, Anna University, Chennai, India</w:t>
      </w:r>
    </w:p>
    <w:p>
      <w:pPr>
        <w:sectPr>
          <w:footerReference w:type="default" r:id="rId9"/>
          <w:pgSz w:w="12240" w:h="15840"/>
          <w:pgMar w:top="720" w:right="720" w:bottom="720" w:left="720" w:header="720" w:footer="720" w:gutter="0"/>
          <w:docGrid w:linePitch="360"/>
          <w:cols w:num="1" w:space="288"/>
        </w:sectPr>
      </w:pPr>
    </w:p>
    <w:p>
      <w:pPr>
        <w:spacing w:line="276" w:lineRule="auto" w:after="120"/>
        <w:jc w:val="both"/>
      </w:pPr>
      <w:r>
        <w:rPr>
          <w:rFonts w:ascii="Times New Roman" w:hAnsi="Times New Roman" w:eastAsia="Times New Roman"/>
          <w:b/>
          <w:i/>
          <w:smallCaps w:val="0"/>
          <w:sz w:val="18"/>
        </w:rPr>
        <w:t>Abstract—</w:t>
      </w:r>
      <w:r>
        <w:rPr>
          <w:rFonts w:ascii="Times New Roman" w:hAnsi="Times New Roman" w:eastAsia="Times New Roman"/>
          <w:b w:val="0"/>
          <w:i w:val="0"/>
          <w:smallCaps w:val="0"/>
          <w:sz w:val="18"/>
        </w:rPr>
        <w:t>This paper documents the design and real, executed implementation of a self-adaptive Digital Twin (DT) for a simulated 5th-Generation (5G) New Radio access network. The system ingests genuine physical-layer and flow-level telemetry from an ns-3/5G-LENA network simulation, synchronizes it continuously into a persistent dynamic state store, and runs five dependency-ordered machine-learning components that predict throughput, latency, packet loss, Physical Resource Block (PRB) utilization, and jitter. A deterministic fidelity engine scores each component's predictive accuracy every cycle using four independent metrics, and a trained reinforcement-learning policy (Proximal Policy Optimization) selects a corrective strategy whenever accuracy degrades. Corrective candidates are produced, isolated in a sandboxed subprocess, and admitted to production only by a deterministic verification gate that an integrated large-language-model reasoning layer cannot override. Every implementation claim in this paper — architecture, formulas, parameters, and measured results — is drawn directly from the project's source code, configuration files, and executed validation runs, with no fabricated or projected figures. Held-out evaluation shows all five prediction components outperform a naive baseline, and the trained decision policy reproduces the theoretically correct corrective strategy on both low- and high-severity validation scenarios.</w:t>
      </w:r>
    </w:p>
    <w:p>
      <w:pPr>
        <w:spacing w:line="276" w:lineRule="auto" w:after="200"/>
        <w:jc w:val="both"/>
      </w:pPr>
      <w:r>
        <w:rPr>
          <w:rFonts w:ascii="Times New Roman" w:hAnsi="Times New Roman" w:eastAsia="Times New Roman"/>
          <w:b/>
          <w:i/>
          <w:smallCaps w:val="0"/>
          <w:sz w:val="18"/>
        </w:rPr>
        <w:t>Keywords—</w:t>
      </w:r>
      <w:r>
        <w:rPr>
          <w:rFonts w:ascii="Times New Roman" w:hAnsi="Times New Roman" w:eastAsia="Times New Roman"/>
          <w:b w:val="0"/>
          <w:i w:val="0"/>
          <w:smallCaps w:val="0"/>
          <w:sz w:val="18"/>
        </w:rPr>
        <w:t>Digital Twin; 5G Network Simulation; Self-Adaptive Systems; Reinforcement Learning; Sensor Telemetry Synchronization; Fidelity Evaluation.</w:t>
      </w:r>
    </w:p>
    <w:p>
      <w:pPr>
        <w:pStyle w:val="Heading1"/>
        <w:spacing w:before="200" w:after="120"/>
        <w:jc w:val="center"/>
      </w:pPr>
      <w:r>
        <w:rPr>
          <w:rFonts w:ascii="Times New Roman" w:hAnsi="Times New Roman" w:eastAsia="Times New Roman"/>
          <w:b/>
          <w:i w:val="0"/>
          <w:smallCaps/>
          <w:sz w:val="21"/>
        </w:rPr>
        <w:t>I. Introduction and System Purpose</w:t>
      </w:r>
    </w:p>
    <w:p>
      <w:pPr>
        <w:spacing w:after="120" w:before="0" w:line="276" w:lineRule="auto"/>
        <w:ind w:firstLine="259"/>
        <w:jc w:val="both"/>
      </w:pPr>
      <w:r>
        <w:rPr>
          <w:rFonts w:ascii="Times New Roman" w:hAnsi="Times New Roman" w:eastAsia="Times New Roman"/>
          <w:b w:val="0"/>
          <w:i w:val="0"/>
          <w:smallCaps w:val="0"/>
          <w:sz w:val="19"/>
        </w:rPr>
        <w:t>A Digital Twin (DT) is a live, continuously updated computational replica of a physical or simulated system, maintained in close synchronization with that system's real behavior. This paper presents a DT built for a simulated 5G New Radio (NR) radio access network, whose purpose is threefold: (i) continuously mirror the network's measurable behavior — throughput, latency, packet loss, radio-resource utilization, and jitter — through a set of trained predictive models; (ii) continuously and quantitatively measure how faithfully those models still track reality; and (iii) autonomously repair a model whose predictive fidelity has degraded, without pausing telemetry ingestion and without allowing an unverified change to reach production.</w:t>
      </w:r>
    </w:p>
    <w:p>
      <w:pPr>
        <w:spacing w:after="120" w:before="0" w:line="276" w:lineRule="auto"/>
        <w:ind w:firstLine="259"/>
        <w:jc w:val="both"/>
      </w:pPr>
      <w:r>
        <w:rPr>
          <w:rFonts w:ascii="Times New Roman" w:hAnsi="Times New Roman" w:eastAsia="Times New Roman"/>
          <w:b w:val="0"/>
          <w:i w:val="0"/>
          <w:smallCaps w:val="0"/>
          <w:sz w:val="19"/>
        </w:rPr>
        <w:t>The ground-truth network is not physical hardware but a purpose-built ns-3 simulation using the 5G-LENA New Radio module, chosen because it implements a 3GPP-conformant channel model (path loss, shadow fading) and produces physical-layer traces (Signal-to-Interference-plus-Noise Ratio, Reference Signal Received Power/Quality) and flow-level statistics that a real base station's monitoring stack would also expose. Every telemetry field consumed by the DT is therefore a genuine simulator measurement, not a synthetically fabricated value, and the system additionally supports a clearly and permanently labeled mock telemetry source for development and testing that is never presented as simulator output.</w:t>
      </w:r>
    </w:p>
    <w:p>
      <w:pPr>
        <w:spacing w:after="120" w:before="0" w:line="276" w:lineRule="auto"/>
        <w:ind w:firstLine="259"/>
        <w:jc w:val="both"/>
      </w:pPr>
      <w:r>
        <w:rPr>
          <w:rFonts w:ascii="Times New Roman" w:hAnsi="Times New Roman" w:eastAsia="Times New Roman"/>
          <w:b w:val="0"/>
          <w:i w:val="0"/>
          <w:smallCaps w:val="0"/>
          <w:sz w:val="19"/>
        </w:rPr>
        <w:t>The system's central engineering problem is self-adaptation under continuous operation: a predictive component's accuracy can degrade as network conditions drift, and the DT must detect this, decide on and construct a remedy, and validate that remedy — all while telemetry keeps flowing and the currently serving model keeps operating. Three design principles recur throughout the implementation and are traceable to specific source files discussed in Section IV: (1) the decision of which corrective strategy to apply is made exclusively by a trained reinforcement-learning policy, never a hand-coded rule; (2) any corrective code produced by a large-language-model (LLM) assistant is executed only inside an isolated subprocess and is never trusted directly; and (3) promotion of a corrected component to production is decided exclusively by an independent, deterministic numerical comparison that the LLM reasoning layer cannot influence.</w:t>
      </w:r>
    </w:p>
    <w:p>
      <w:pPr>
        <w:pStyle w:val="Heading2"/>
        <w:spacing w:before="120" w:after="60"/>
      </w:pPr>
      <w:r>
        <w:rPr>
          <w:rFonts w:ascii="Times New Roman" w:hAnsi="Times New Roman" w:eastAsia="Times New Roman"/>
          <w:b w:val="0"/>
          <w:i/>
          <w:smallCaps w:val="0"/>
          <w:sz w:val="19"/>
        </w:rPr>
        <w:t>A. Contributions</w:t>
      </w:r>
    </w:p>
    <w:p>
      <w:pPr>
        <w:spacing w:after="120" w:before="0" w:line="276" w:lineRule="auto"/>
        <w:ind w:firstLine="259"/>
        <w:jc w:val="both"/>
      </w:pPr>
      <w:r>
        <w:rPr>
          <w:rFonts w:ascii="Times New Roman" w:hAnsi="Times New Roman" w:eastAsia="Times New Roman"/>
          <w:b w:val="0"/>
          <w:i w:val="0"/>
          <w:smallCaps w:val="0"/>
          <w:sz w:val="19"/>
        </w:rPr>
        <w:t>This paper reports: a working, executed pipeline from a real network simulator through telemetry synchronization, prediction, fidelity scoring, automated decision-making, sandboxed self-repair, and deterministic verification; the exact mathematical formulation of every telemetry conversion and scoring computation the system performs, extracted directly from its source code; and quantitative results from executed validation runs, including held-out prediction accuracy, reinforcement-learning training curves, and two complete real adaptation cycles — one driven by synthetic mock telemetry and one driven by the real ns-3/5G-LENA simulator.</w:t>
      </w:r>
    </w:p>
    <w:p>
      <w:pPr>
        <w:pStyle w:val="Heading1"/>
        <w:spacing w:before="200" w:after="120"/>
        <w:jc w:val="center"/>
      </w:pPr>
      <w:r>
        <w:rPr>
          <w:rFonts w:ascii="Times New Roman" w:hAnsi="Times New Roman" w:eastAsia="Times New Roman"/>
          <w:b/>
          <w:i w:val="0"/>
          <w:smallCaps/>
          <w:sz w:val="21"/>
        </w:rPr>
        <w:t>II. System Architecture and Data Pipeline</w:t>
      </w:r>
    </w:p>
    <w:p>
      <w:pPr>
        <w:spacing w:after="120" w:before="0" w:line="276" w:lineRule="auto"/>
        <w:ind w:firstLine="259"/>
        <w:jc w:val="both"/>
      </w:pPr>
      <w:r>
        <w:rPr>
          <w:rFonts w:ascii="Times New Roman" w:hAnsi="Times New Roman" w:eastAsia="Times New Roman"/>
          <w:b w:val="0"/>
          <w:i w:val="0"/>
          <w:smallCaps w:val="0"/>
          <w:sz w:val="19"/>
        </w:rPr>
        <w:t>Fig. 1 shows the system organized into five layers, moving from the simulated physical network up to visualization. Layer 1 is the ns-3/5G-LENA simulation itself. Layer 2 extracts physical-layer and flow-level measurements and transports them over a message queue. Layer 3 validates and continuously synchronizes that telemetry into persistent state. Layer 4 — the Digital Twin State Model — holds the dynamic state store, the five dependency-ordered prediction components, the fidelity evaluator, the reinforcement-learning decision agent and its corrective agents, and the deterministic verification/registry/lifecycle-logging chain. Layer 5 renders telemetry, fidelity, and adaptation-outcome charts from whatever the system has genuinely produced.</w:t>
      </w:r>
    </w:p>
    <w:p>
      <w:pPr>
        <w:sectPr>
          <w:type w:val="continuous"/>
          <w:pgSz w:w="12240" w:h="15840"/>
          <w:pgMar w:top="720" w:right="720" w:bottom="720" w:left="720" w:header="720" w:footer="720" w:gutter="0"/>
          <w:docGrid w:linePitch="360"/>
          <w:cols w:num="2" w:space="288"/>
        </w:sectPr>
      </w:pPr>
    </w:p>
    <w:p>
      <w:pPr>
        <w:spacing w:before="120" w:after="80"/>
        <w:jc w:val="center"/>
      </w:pPr>
      <w:r>
        <w:drawing>
          <wp:inline xmlns:a="http://schemas.openxmlformats.org/drawingml/2006/main" xmlns:pic="http://schemas.openxmlformats.org/drawingml/2006/picture">
            <wp:extent cx="3246120" cy="432816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3246120" cy="4328160"/>
                    </a:xfrm>
                    <a:prstGeom prst="rect"/>
                  </pic:spPr>
                </pic:pic>
              </a:graphicData>
            </a:graphic>
          </wp:inline>
        </w:drawing>
      </w:r>
    </w:p>
    <w:p>
      <w:pPr>
        <w:spacing w:after="240" w:before="40" w:line="276" w:lineRule="auto"/>
        <w:jc w:val="center"/>
      </w:pPr>
      <w:r>
        <w:rPr>
          <w:rFonts w:ascii="Times New Roman" w:hAnsi="Times New Roman" w:eastAsia="Times New Roman"/>
          <w:b w:val="0"/>
          <w:i w:val="0"/>
          <w:smallCaps w:val="0"/>
          <w:sz w:val="18"/>
        </w:rPr>
        <w:t>Fig. 1.  End-to-End Digital Twin System Architecture.</w:t>
      </w: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A. Data Pipeline</w:t>
      </w:r>
    </w:p>
    <w:p>
      <w:pPr>
        <w:spacing w:after="120" w:before="0" w:line="276" w:lineRule="auto"/>
        <w:ind w:firstLine="259"/>
        <w:jc w:val="both"/>
      </w:pPr>
      <w:r>
        <w:rPr>
          <w:rFonts w:ascii="Times New Roman" w:hAnsi="Times New Roman" w:eastAsia="Times New Roman"/>
          <w:b w:val="0"/>
          <w:i w:val="0"/>
          <w:smallCaps w:val="0"/>
          <w:sz w:val="19"/>
        </w:rPr>
        <w:t>Fig. 2 traces one telemetry record end to end. (1) The simulator's PHY and FlowMonitor traces are polled on a fixed interval. (2) A structured per-User-Equipment (UE) record is assembled in the simulator's native units (bits/second, seconds, unitless ratios). (3) The record is published over a ZeroMQ publish/subscribe socket. (4) The backend subscribes and receives it. (5) The record is schema-validated, range-checked, and either accepted, imputed from the last known-good value for that (UE, cell) pair, or quarantined — never silently dropped. (6) Accepted fields are converted to the DT's canonical units (Mbps, milliseconds, percent). (7) The Digital Twin's current-state table is updated using a latest-by-timestamp rule, and the full history is appended, never overwritten. (8) Downstream consumers — the prediction orchestrator, the fidelity evaluator, and the visualization tooling — read from this state.</w:t>
      </w:r>
    </w:p>
    <w:p>
      <w:pPr>
        <w:spacing w:after="120" w:before="0" w:line="276" w:lineRule="auto"/>
        <w:ind w:firstLine="259"/>
        <w:jc w:val="both"/>
      </w:pPr>
      <w:r>
        <w:rPr>
          <w:rFonts w:ascii="Times New Roman" w:hAnsi="Times New Roman" w:eastAsia="Times New Roman"/>
          <w:b w:val="0"/>
          <w:i w:val="0"/>
          <w:smallCaps w:val="0"/>
          <w:sz w:val="19"/>
        </w:rPr>
        <w:t>Telemetry synchronization runs on its own background thread and is never blocked by prediction, fidelity evaluation, or an in-progress adaptation cycle; this was verified directly by sampling the synchronization counter while a real adaptation cycle was executing (Section V).</w:t>
      </w:r>
    </w:p>
    <w:p>
      <w:pPr>
        <w:sectPr>
          <w:type w:val="continuous"/>
          <w:pgSz w:w="12240" w:h="15840"/>
          <w:pgMar w:top="720" w:right="720" w:bottom="720" w:left="720" w:header="720" w:footer="720" w:gutter="0"/>
          <w:docGrid w:linePitch="360"/>
          <w:cols w:num="2" w:space="288"/>
        </w:sectPr>
      </w:pPr>
    </w:p>
    <w:p>
      <w:pPr>
        <w:spacing w:before="120" w:after="80"/>
        <w:jc w:val="center"/>
      </w:pPr>
      <w:r>
        <w:drawing>
          <wp:inline xmlns:a="http://schemas.openxmlformats.org/drawingml/2006/main" xmlns:pic="http://schemas.openxmlformats.org/drawingml/2006/picture">
            <wp:extent cx="5120640" cy="4359464"/>
            <wp:docPr id="2" name="Picture 2"/>
            <wp:cNvGraphicFramePr>
              <a:graphicFrameLocks noChangeAspect="1"/>
            </wp:cNvGraphicFramePr>
            <a:graphic>
              <a:graphicData uri="http://schemas.openxmlformats.org/drawingml/2006/picture">
                <pic:pic>
                  <pic:nvPicPr>
                    <pic:cNvPr id="0" name="fig2_dataflow.png"/>
                    <pic:cNvPicPr/>
                  </pic:nvPicPr>
                  <pic:blipFill>
                    <a:blip r:embed="rId11"/>
                    <a:stretch>
                      <a:fillRect/>
                    </a:stretch>
                  </pic:blipFill>
                  <pic:spPr>
                    <a:xfrm>
                      <a:off x="0" y="0"/>
                      <a:ext cx="5120640" cy="4359464"/>
                    </a:xfrm>
                    <a:prstGeom prst="rect"/>
                  </pic:spPr>
                </pic:pic>
              </a:graphicData>
            </a:graphic>
          </wp:inline>
        </w:drawing>
      </w:r>
    </w:p>
    <w:p>
      <w:pPr>
        <w:spacing w:after="240" w:before="40" w:line="276" w:lineRule="auto"/>
        <w:jc w:val="center"/>
      </w:pPr>
      <w:r>
        <w:rPr>
          <w:rFonts w:ascii="Times New Roman" w:hAnsi="Times New Roman" w:eastAsia="Times New Roman"/>
          <w:b w:val="0"/>
          <w:i w:val="0"/>
          <w:smallCaps w:val="0"/>
          <w:sz w:val="18"/>
        </w:rPr>
        <w:t>Fig. 2.  End-to-End Data Flow and Digital Twin Synchronization Process.</w:t>
      </w: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B. Prediction Dependency Structure</w:t>
      </w:r>
    </w:p>
    <w:p>
      <w:pPr>
        <w:spacing w:after="120" w:before="0" w:line="276" w:lineRule="auto"/>
        <w:ind w:firstLine="259"/>
        <w:jc w:val="both"/>
      </w:pPr>
      <w:r>
        <w:rPr>
          <w:rFonts w:ascii="Times New Roman" w:hAnsi="Times New Roman" w:eastAsia="Times New Roman"/>
          <w:b w:val="0"/>
          <w:i w:val="0"/>
          <w:smallCaps w:val="0"/>
          <w:sz w:val="19"/>
        </w:rPr>
        <w:t>The five prediction components are not independent: latency, PRB utilization, and jitter each consume one or more upstream components' live predictions as inputs, in addition to raw telemetry features. Throughput and packet loss have no such dependency and are computed first. This dependency order (throughput, packet loss) then (latency, PRB utilization) then jitter is derived at runtime from each component's declared dependency list via a topological sort — it is not a hardcoded call sequence — which is what Algorithm 1 (Section III) describes.</w:t>
      </w:r>
    </w:p>
    <w:p>
      <w:pPr>
        <w:pStyle w:val="Heading1"/>
        <w:spacing w:before="200" w:after="120"/>
        <w:jc w:val="center"/>
      </w:pPr>
      <w:r>
        <w:rPr>
          <w:rFonts w:ascii="Times New Roman" w:hAnsi="Times New Roman" w:eastAsia="Times New Roman"/>
          <w:b/>
          <w:i w:val="0"/>
          <w:smallCaps/>
          <w:sz w:val="21"/>
        </w:rPr>
        <w:t>III. Mathematical Modeling and Algorithmic Formulation</w:t>
      </w:r>
    </w:p>
    <w:p>
      <w:pPr>
        <w:spacing w:after="120" w:before="0" w:line="276" w:lineRule="auto"/>
        <w:ind w:firstLine="259"/>
        <w:jc w:val="both"/>
      </w:pPr>
      <w:r>
        <w:rPr>
          <w:rFonts w:ascii="Times New Roman" w:hAnsi="Times New Roman" w:eastAsia="Times New Roman"/>
          <w:b w:val="0"/>
          <w:i w:val="0"/>
          <w:smallCaps w:val="0"/>
          <w:sz w:val="19"/>
        </w:rPr>
        <w:t>Every equation below is implemented exactly as written in the project's own source code (cited per equation); none is a textbook formula included for illustration only. Table I defines every symbol on first use.</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I</w:t>
        <w:br/>
        <w:t>Symbol Definitions</w:t>
      </w:r>
    </w:p>
    <w:tbl>
      <w:tblPr>
        <w:tblW w:type="auto" w:w="0"/>
        <w:jc w:val="center"/>
        <w:tblLayout w:type="fixed"/>
        <w:tblLook w:firstColumn="1" w:firstRow="1" w:lastColumn="0" w:lastRow="0" w:noHBand="0" w:noVBand="1" w:val="04A0"/>
      </w:tblPr>
      <w:tblGrid>
        <w:gridCol w:w="5400"/>
        <w:gridCol w:w="5400"/>
      </w:tblGrid>
      <w:tr>
        <w:tc>
          <w:tcPr>
            <w:tcW w:type="dxa" w:w="2232"/>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Symbol</w:t>
            </w:r>
          </w:p>
        </w:tc>
        <w:tc>
          <w:tcPr>
            <w:tcW w:type="dxa" w:w="266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Meaning / Unit</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SINR_lin, SINR_dB</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Linear and decibel signal-to-interference-plus-noise ratio</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Δt</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Telemetry polling interval (s); 0.2 s default</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ΔRxBytes, ΔTxBytes</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Received/transmitted byte count delta between two polls</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ΔRxPackets, ΔTxPackets, ΔLost</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Received/transmitted/lost packet count delta</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ΔDelaySum, ΔJitterSum</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Cumulative per-flow delay/jitter sum delta (s)</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usedRbSym, availRb, dataSym</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Used Resource-Block symbols; available RBs; data symbol count per slot</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u, c, t</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UE identifier; cell identifier; timestamp</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R(u,c)</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Set of all received telemetry records for key (u,c)</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y, ŷ, n</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Ground-truth values, predicted values, sample count</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k_γ(a,b)</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RBF kernel with bandwidth parameter γ</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D_m, D̃_m</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Squared and rolling-window-normalized raw metric m</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ε, δ</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Normalization stabilizer; verification acceptance margin (config-driven)</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a_t, cost(a_t)</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Adaptation action at step t; its configured cost penalty</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A. Telemetry Unit Conversion and Sensor-Derived Calculations</w:t>
      </w:r>
    </w:p>
    <w:p>
      <w:pPr>
        <w:spacing w:after="120" w:before="0" w:line="276" w:lineRule="auto"/>
        <w:ind w:firstLine="259"/>
        <w:jc w:val="both"/>
      </w:pPr>
      <w:r>
        <w:rPr>
          <w:rFonts w:ascii="Times New Roman" w:hAnsi="Times New Roman" w:eastAsia="Times New Roman"/>
          <w:b w:val="0"/>
          <w:i w:val="0"/>
          <w:smallCaps w:val="0"/>
          <w:sz w:val="19"/>
        </w:rPr>
        <w:t>Linear-to-decibel SINR conversion, applied to the NrUePhy DlDataSinr trace (ns3_sim/nr_5g_telemetry_sim.cc):</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3153027" cy="205740"/>
                  <wp:docPr id="3" name="Picture 3"/>
                  <wp:cNvGraphicFramePr>
                    <a:graphicFrameLocks noChangeAspect="1"/>
                  </wp:cNvGraphicFramePr>
                  <a:graphic>
                    <a:graphicData uri="http://schemas.openxmlformats.org/drawingml/2006/picture">
                      <pic:pic>
                        <pic:nvPicPr>
                          <pic:cNvPr id="0" name="eq1.png"/>
                          <pic:cNvPicPr/>
                        </pic:nvPicPr>
                        <pic:blipFill>
                          <a:blip r:embed="rId12"/>
                          <a:stretch>
                            <a:fillRect/>
                          </a:stretch>
                        </pic:blipFill>
                        <pic:spPr>
                          <a:xfrm>
                            <a:off x="0" y="0"/>
                            <a:ext cx="3153027"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w:t>
            </w:r>
          </w:p>
        </w:tc>
      </w:tr>
    </w:tbl>
    <w:p>
      <w:pPr>
        <w:spacing w:after="120" w:before="0" w:line="276" w:lineRule="auto"/>
        <w:ind w:firstLine="259"/>
        <w:jc w:val="both"/>
      </w:pPr>
      <w:r>
        <w:rPr>
          <w:rFonts w:ascii="Times New Roman" w:hAnsi="Times New Roman" w:eastAsia="Times New Roman"/>
          <w:b w:val="0"/>
          <w:i w:val="0"/>
          <w:smallCaps w:val="0"/>
          <w:sz w:val="19"/>
        </w:rPr>
        <w:t>Per-interval throughput and offered load, derived from FlowMonitor cumulative byte counters snapshotted every Δt:</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089866" cy="205740"/>
                  <wp:docPr id="4" name="Picture 4"/>
                  <wp:cNvGraphicFramePr>
                    <a:graphicFrameLocks noChangeAspect="1"/>
                  </wp:cNvGraphicFramePr>
                  <a:graphic>
                    <a:graphicData uri="http://schemas.openxmlformats.org/drawingml/2006/picture">
                      <pic:pic>
                        <pic:nvPicPr>
                          <pic:cNvPr id="0" name="eq2.png"/>
                          <pic:cNvPicPr/>
                        </pic:nvPicPr>
                        <pic:blipFill>
                          <a:blip r:embed="rId13"/>
                          <a:stretch>
                            <a:fillRect/>
                          </a:stretch>
                        </pic:blipFill>
                        <pic:spPr>
                          <a:xfrm>
                            <a:off x="0" y="0"/>
                            <a:ext cx="1089866"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(2)</w:t>
            </w:r>
          </w:p>
        </w:tc>
      </w:tr>
    </w:tbl>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112108" cy="205740"/>
                  <wp:docPr id="5" name="Picture 5"/>
                  <wp:cNvGraphicFramePr>
                    <a:graphicFrameLocks noChangeAspect="1"/>
                  </wp:cNvGraphicFramePr>
                  <a:graphic>
                    <a:graphicData uri="http://schemas.openxmlformats.org/drawingml/2006/picture">
                      <pic:pic>
                        <pic:nvPicPr>
                          <pic:cNvPr id="0" name="eq3.png"/>
                          <pic:cNvPicPr/>
                        </pic:nvPicPr>
                        <pic:blipFill>
                          <a:blip r:embed="rId14"/>
                          <a:stretch>
                            <a:fillRect/>
                          </a:stretch>
                        </pic:blipFill>
                        <pic:spPr>
                          <a:xfrm>
                            <a:off x="0" y="0"/>
                            <a:ext cx="1112108"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(3)</w:t>
            </w:r>
          </w:p>
        </w:tc>
      </w:tr>
    </w:tbl>
    <w:p>
      <w:pPr>
        <w:spacing w:after="120" w:before="0" w:line="276" w:lineRule="auto"/>
        <w:ind w:firstLine="259"/>
        <w:jc w:val="both"/>
      </w:pPr>
      <w:r>
        <w:rPr>
          <w:rFonts w:ascii="Times New Roman" w:hAnsi="Times New Roman" w:eastAsia="Times New Roman"/>
          <w:b w:val="0"/>
          <w:i w:val="0"/>
          <w:smallCaps w:val="0"/>
          <w:sz w:val="19"/>
        </w:rPr>
        <w:t>Per-interval mean latency and jitter, from cumulative delay/jitter sums:</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485443" cy="205740"/>
                  <wp:docPr id="6" name="Picture 6"/>
                  <wp:cNvGraphicFramePr>
                    <a:graphicFrameLocks noChangeAspect="1"/>
                  </wp:cNvGraphicFramePr>
                  <a:graphic>
                    <a:graphicData uri="http://schemas.openxmlformats.org/drawingml/2006/picture">
                      <pic:pic>
                        <pic:nvPicPr>
                          <pic:cNvPr id="0" name="eq4.png"/>
                          <pic:cNvPicPr/>
                        </pic:nvPicPr>
                        <pic:blipFill>
                          <a:blip r:embed="rId15"/>
                          <a:stretch>
                            <a:fillRect/>
                          </a:stretch>
                        </pic:blipFill>
                        <pic:spPr>
                          <a:xfrm>
                            <a:off x="0" y="0"/>
                            <a:ext cx="1485443"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(4)</w:t>
            </w:r>
          </w:p>
        </w:tc>
      </w:tr>
    </w:tbl>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405204" cy="205740"/>
                  <wp:docPr id="7" name="Picture 7"/>
                  <wp:cNvGraphicFramePr>
                    <a:graphicFrameLocks noChangeAspect="1"/>
                  </wp:cNvGraphicFramePr>
                  <a:graphic>
                    <a:graphicData uri="http://schemas.openxmlformats.org/drawingml/2006/picture">
                      <pic:pic>
                        <pic:nvPicPr>
                          <pic:cNvPr id="0" name="eq5.png"/>
                          <pic:cNvPicPr/>
                        </pic:nvPicPr>
                        <pic:blipFill>
                          <a:blip r:embed="rId16"/>
                          <a:stretch>
                            <a:fillRect/>
                          </a:stretch>
                        </pic:blipFill>
                        <pic:spPr>
                          <a:xfrm>
                            <a:off x="0" y="0"/>
                            <a:ext cx="1405204"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(5)</w:t>
            </w:r>
          </w:p>
        </w:tc>
      </w:tr>
    </w:tbl>
    <w:p>
      <w:pPr>
        <w:spacing w:after="120" w:before="0" w:line="276" w:lineRule="auto"/>
        <w:ind w:firstLine="259"/>
        <w:jc w:val="both"/>
      </w:pPr>
      <w:r>
        <w:rPr>
          <w:rFonts w:ascii="Times New Roman" w:hAnsi="Times New Roman" w:eastAsia="Times New Roman"/>
          <w:b w:val="0"/>
          <w:i w:val="0"/>
          <w:smallCaps w:val="0"/>
          <w:sz w:val="19"/>
        </w:rPr>
        <w:t>Packet-loss ratio for the interval:</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830618" cy="205740"/>
                  <wp:docPr id="8" name="Picture 8"/>
                  <wp:cNvGraphicFramePr>
                    <a:graphicFrameLocks noChangeAspect="1"/>
                  </wp:cNvGraphicFramePr>
                  <a:graphic>
                    <a:graphicData uri="http://schemas.openxmlformats.org/drawingml/2006/picture">
                      <pic:pic>
                        <pic:nvPicPr>
                          <pic:cNvPr id="0" name="eq6.png"/>
                          <pic:cNvPicPr/>
                        </pic:nvPicPr>
                        <pic:blipFill>
                          <a:blip r:embed="rId17"/>
                          <a:stretch>
                            <a:fillRect/>
                          </a:stretch>
                        </pic:blipFill>
                        <pic:spPr>
                          <a:xfrm>
                            <a:off x="0" y="0"/>
                            <a:ext cx="1830618"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(6)</w:t>
            </w:r>
          </w:p>
        </w:tc>
      </w:tr>
    </w:tbl>
    <w:p>
      <w:pPr>
        <w:spacing w:after="120" w:before="0" w:line="276" w:lineRule="auto"/>
        <w:ind w:firstLine="259"/>
        <w:jc w:val="both"/>
      </w:pPr>
      <w:r>
        <w:rPr>
          <w:rFonts w:ascii="Times New Roman" w:hAnsi="Times New Roman" w:eastAsia="Times New Roman"/>
          <w:b w:val="0"/>
          <w:i w:val="0"/>
          <w:smallCaps w:val="0"/>
          <w:sz w:val="19"/>
        </w:rPr>
        <w:t>Physical Resource Block utilization, combining two gNB PHY traces (SlotDataStats for available RBs and data-symbol count, RBDataStats for the literal used-RB bitmap):</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810883" cy="205740"/>
                  <wp:docPr id="9" name="Picture 9"/>
                  <wp:cNvGraphicFramePr>
                    <a:graphicFrameLocks noChangeAspect="1"/>
                  </wp:cNvGraphicFramePr>
                  <a:graphic>
                    <a:graphicData uri="http://schemas.openxmlformats.org/drawingml/2006/picture">
                      <pic:pic>
                        <pic:nvPicPr>
                          <pic:cNvPr id="0" name="eq7.png"/>
                          <pic:cNvPicPr/>
                        </pic:nvPicPr>
                        <pic:blipFill>
                          <a:blip r:embed="rId18"/>
                          <a:stretch>
                            <a:fillRect/>
                          </a:stretch>
                        </pic:blipFill>
                        <pic:spPr>
                          <a:xfrm>
                            <a:off x="0" y="0"/>
                            <a:ext cx="1810883"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(7)</w:t>
            </w:r>
          </w:p>
        </w:tc>
      </w:tr>
    </w:tbl>
    <w:p>
      <w:pPr>
        <w:spacing w:after="120" w:before="0" w:line="276" w:lineRule="auto"/>
        <w:ind w:firstLine="259"/>
        <w:jc w:val="both"/>
      </w:pPr>
      <w:r>
        <w:rPr>
          <w:rFonts w:ascii="Times New Roman" w:hAnsi="Times New Roman" w:eastAsia="Times New Roman"/>
          <w:b w:val="0"/>
          <w:i w:val="0"/>
          <w:smallCaps w:val="0"/>
          <w:sz w:val="19"/>
        </w:rPr>
        <w:t>Cell-wide offered-load aggregate, summed across every UE sharing a (cell, timestamp) key — an input feature to the PRB-utilization model:</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180947" cy="205740"/>
                  <wp:docPr id="10" name="Picture 10"/>
                  <wp:cNvGraphicFramePr>
                    <a:graphicFrameLocks noChangeAspect="1"/>
                  </wp:cNvGraphicFramePr>
                  <a:graphic>
                    <a:graphicData uri="http://schemas.openxmlformats.org/drawingml/2006/picture">
                      <pic:pic>
                        <pic:nvPicPr>
                          <pic:cNvPr id="0" name="eq8.png"/>
                          <pic:cNvPicPr/>
                        </pic:nvPicPr>
                        <pic:blipFill>
                          <a:blip r:embed="rId19"/>
                          <a:stretch>
                            <a:fillRect/>
                          </a:stretch>
                        </pic:blipFill>
                        <pic:spPr>
                          <a:xfrm>
                            <a:off x="0" y="0"/>
                            <a:ext cx="1180947"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(8)</w:t>
            </w:r>
          </w:p>
        </w:tc>
      </w:tr>
    </w:tbl>
    <w:p>
      <w:pPr>
        <w:pStyle w:val="Heading2"/>
        <w:spacing w:before="120" w:after="60"/>
      </w:pPr>
      <w:r>
        <w:rPr>
          <w:rFonts w:ascii="Times New Roman" w:hAnsi="Times New Roman" w:eastAsia="Times New Roman"/>
          <w:b w:val="0"/>
          <w:i/>
          <w:smallCaps w:val="0"/>
          <w:sz w:val="19"/>
        </w:rPr>
        <w:t>B. Digital Twin State Synchronization</w:t>
      </w:r>
    </w:p>
    <w:p>
      <w:pPr>
        <w:spacing w:after="120" w:before="0" w:line="276" w:lineRule="auto"/>
        <w:ind w:firstLine="259"/>
        <w:jc w:val="both"/>
      </w:pPr>
      <w:r>
        <w:rPr>
          <w:rFonts w:ascii="Times New Roman" w:hAnsi="Times New Roman" w:eastAsia="Times New Roman"/>
          <w:b w:val="0"/>
          <w:i w:val="0"/>
          <w:smallCaps w:val="0"/>
          <w:sz w:val="19"/>
        </w:rPr>
        <w:t>The dynamic state store's current-state view is updated by a latest-by-event-time rule, not arrival order, so that out-of-order delivery cannot regress state (src/dt_models/d1_model_store.py):</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2439224" cy="205740"/>
                  <wp:docPr id="11" name="Picture 11"/>
                  <wp:cNvGraphicFramePr>
                    <a:graphicFrameLocks noChangeAspect="1"/>
                  </wp:cNvGraphicFramePr>
                  <a:graphic>
                    <a:graphicData uri="http://schemas.openxmlformats.org/drawingml/2006/picture">
                      <pic:pic>
                        <pic:nvPicPr>
                          <pic:cNvPr id="0" name="eq9.png"/>
                          <pic:cNvPicPr/>
                        </pic:nvPicPr>
                        <pic:blipFill>
                          <a:blip r:embed="rId20"/>
                          <a:stretch>
                            <a:fillRect/>
                          </a:stretch>
                        </pic:blipFill>
                        <pic:spPr>
                          <a:xfrm>
                            <a:off x="0" y="0"/>
                            <a:ext cx="2439224"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(9)</w:t>
            </w:r>
          </w:p>
        </w:tc>
      </w:tr>
    </w:tbl>
    <w:p>
      <w:pPr>
        <w:spacing w:after="120" w:before="0" w:line="276" w:lineRule="auto"/>
        <w:ind w:firstLine="259"/>
        <w:jc w:val="both"/>
      </w:pPr>
      <w:r>
        <w:rPr>
          <w:rFonts w:ascii="Times New Roman" w:hAnsi="Times New Roman" w:eastAsia="Times New Roman"/>
          <w:b w:val="0"/>
          <w:i w:val="0"/>
          <w:smallCaps w:val="0"/>
          <w:sz w:val="19"/>
        </w:rPr>
        <w:t>The full telemetry history is append-only under this same key and is never overwritten by a current-state update.</w:t>
      </w:r>
    </w:p>
    <w:p>
      <w:pPr>
        <w:sectPr>
          <w:type w:val="continuous"/>
          <w:pgSz w:w="12240" w:h="15840"/>
          <w:pgMar w:top="720" w:right="720" w:bottom="720" w:left="720" w:header="720" w:footer="720" w:gutter="0"/>
          <w:docGrid w:linePitch="360"/>
          <w:cols w:num="2" w:space="288"/>
        </w:sectPr>
      </w:pPr>
    </w:p>
    <w:p>
      <w:pPr>
        <w:spacing w:after="40" w:before="160" w:line="276" w:lineRule="auto"/>
        <w:jc w:val="left"/>
      </w:pPr>
      <w:r>
        <w:rPr>
          <w:rFonts w:ascii="Times New Roman" w:hAnsi="Times New Roman" w:eastAsia="Times New Roman"/>
          <w:b/>
          <w:i w:val="0"/>
          <w:smallCaps w:val="0"/>
          <w:sz w:val="19"/>
        </w:rPr>
        <w:t>Algorithm 1 — Dependency-Aware Prediction Execution (src/dt_models/orchestrator.py)</w:t>
      </w:r>
    </w:p>
    <w:tbl>
      <w:tblPr>
        <w:tblW w:type="auto" w:w="0"/>
        <w:jc w:val="center"/>
        <w:tblLayout w:type="fixed"/>
        <w:tblLook w:firstColumn="1" w:firstRow="1" w:lastColumn="0" w:lastRow="0" w:noHBand="0" w:noVBand="1" w:val="04A0"/>
      </w:tblPr>
      <w:tblGrid>
        <w:gridCol w:w="10800"/>
      </w:tblGrid>
      <w:tr>
        <w:tc>
          <w:tcPr>
            <w:tcW w:type="dxa" w:w="10080"/>
            <w:tcBorders>
              <w:top w:val="single" w:sz="6" w:color="404040"/>
              <w:left w:val="single" w:sz="6" w:color="404040"/>
              <w:bottom w:val="single" w:sz="6" w:color="404040"/>
              <w:right w:val="single" w:sz="6" w:color="404040"/>
            </w:tcBorders>
            <w:shd w:val="clear" w:color="auto" w:fill="F4F4F4"/>
          </w:tcPr>
          <w:p>
            <w:pPr>
              <w:spacing w:after="20" w:before="20" w:line="240" w:lineRule="auto"/>
            </w:pPr>
            <w:r>
              <w:rPr>
                <w:rFonts w:ascii="Courier New" w:hAnsi="Courier New" w:eastAsia="Courier New"/>
                <w:b w:val="0"/>
                <w:i w:val="0"/>
                <w:smallCaps w:val="0"/>
                <w:sz w:val="15"/>
              </w:rPr>
              <w:t>Input: enabled components C, each with DEPENDENCIES(c) and predict(features)</w:t>
            </w:r>
          </w:p>
          <w:p>
            <w:pPr>
              <w:spacing w:after="20" w:before="20" w:line="240" w:lineRule="auto"/>
            </w:pPr>
            <w:r>
              <w:rPr>
                <w:rFonts w:ascii="Courier New" w:hAnsi="Courier New" w:eastAsia="Courier New"/>
                <w:b w:val="0"/>
                <w:i w:val="0"/>
                <w:smallCaps w:val="0"/>
                <w:sz w:val="15"/>
              </w:rPr>
              <w:t>order &lt;- TopologicalSort(C, edges = {(d, c) : d in DEPENDENCIES(c)})</w:t>
            </w:r>
          </w:p>
          <w:p>
            <w:pPr>
              <w:spacing w:after="20" w:before="20" w:line="240" w:lineRule="auto"/>
            </w:pPr>
            <w:r>
              <w:rPr>
                <w:rFonts w:ascii="Courier New" w:hAnsi="Courier New" w:eastAsia="Courier New"/>
                <w:b w:val="0"/>
                <w:i w:val="0"/>
                <w:smallCaps w:val="0"/>
                <w:sz w:val="15"/>
              </w:rPr>
              <w:t>for c in order:</w:t>
            </w:r>
          </w:p>
          <w:p>
            <w:pPr>
              <w:spacing w:after="20" w:before="20" w:line="240" w:lineRule="auto"/>
            </w:pPr>
            <w:r>
              <w:rPr>
                <w:rFonts w:ascii="Courier New" w:hAnsi="Courier New" w:eastAsia="Courier New"/>
                <w:b w:val="0"/>
                <w:i w:val="0"/>
                <w:smallCaps w:val="0"/>
                <w:sz w:val="15"/>
              </w:rPr>
              <w:t xml:space="preserve">    x &lt;- features restricted to REQUIRED_FEATURES(c)</w:t>
            </w:r>
          </w:p>
          <w:p>
            <w:pPr>
              <w:spacing w:after="20" w:before="20" w:line="240" w:lineRule="auto"/>
            </w:pPr>
            <w:r>
              <w:rPr>
                <w:rFonts w:ascii="Courier New" w:hAnsi="Courier New" w:eastAsia="Courier New"/>
                <w:b w:val="0"/>
                <w:i w:val="0"/>
                <w:smallCaps w:val="0"/>
                <w:sz w:val="15"/>
              </w:rPr>
              <w:t xml:space="preserve">    for d in DEPENDENCIES(c):</w:t>
            </w:r>
          </w:p>
          <w:p>
            <w:pPr>
              <w:spacing w:after="20" w:before="20" w:line="240" w:lineRule="auto"/>
            </w:pPr>
            <w:r>
              <w:rPr>
                <w:rFonts w:ascii="Courier New" w:hAnsi="Courier New" w:eastAsia="Courier New"/>
                <w:b w:val="0"/>
                <w:i w:val="0"/>
                <w:smallCaps w:val="0"/>
                <w:sz w:val="15"/>
              </w:rPr>
              <w:t xml:space="preserve">        x[OUTPUT_FIELD(d)] &lt;- predictions[d]        # live upstream output</w:t>
            </w:r>
          </w:p>
          <w:p>
            <w:pPr>
              <w:spacing w:after="20" w:before="20" w:line="240" w:lineRule="auto"/>
            </w:pPr>
            <w:r>
              <w:rPr>
                <w:rFonts w:ascii="Courier New" w:hAnsi="Courier New" w:eastAsia="Courier New"/>
                <w:b w:val="0"/>
                <w:i w:val="0"/>
                <w:smallCaps w:val="0"/>
                <w:sz w:val="15"/>
              </w:rPr>
              <w:t xml:space="preserve">    predictions[c] &lt;- c.predict(x)</w:t>
            </w:r>
          </w:p>
          <w:p>
            <w:pPr>
              <w:spacing w:after="20" w:before="20" w:line="240" w:lineRule="auto"/>
            </w:pPr>
            <w:r>
              <w:rPr>
                <w:rFonts w:ascii="Courier New" w:hAnsi="Courier New" w:eastAsia="Courier New"/>
                <w:b w:val="0"/>
                <w:i w:val="0"/>
                <w:smallCaps w:val="0"/>
                <w:sz w:val="15"/>
              </w:rPr>
              <w:t>return predictions</w:t>
            </w:r>
          </w:p>
        </w:tc>
      </w:tr>
    </w:tbl>
    <w:p>
      <w:pPr>
        <w:spacing w:after="8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C. Deterministic Fidelity Evaluation</w:t>
      </w:r>
    </w:p>
    <w:p>
      <w:pPr>
        <w:spacing w:after="120" w:before="0" w:line="276" w:lineRule="auto"/>
        <w:ind w:firstLine="259"/>
        <w:jc w:val="both"/>
      </w:pPr>
      <w:r>
        <w:rPr>
          <w:rFonts w:ascii="Times New Roman" w:hAnsi="Times New Roman" w:eastAsia="Times New Roman"/>
          <w:b w:val="0"/>
          <w:i w:val="0"/>
          <w:smallCaps w:val="0"/>
          <w:sz w:val="19"/>
        </w:rPr>
        <w:t>Two pointwise accuracy metrics (src/fidelity/metrics.py):</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964921" cy="205740"/>
                  <wp:docPr id="12" name="Picture 12"/>
                  <wp:cNvGraphicFramePr>
                    <a:graphicFrameLocks noChangeAspect="1"/>
                  </wp:cNvGraphicFramePr>
                  <a:graphic>
                    <a:graphicData uri="http://schemas.openxmlformats.org/drawingml/2006/picture">
                      <pic:pic>
                        <pic:nvPicPr>
                          <pic:cNvPr id="0" name="eq10.png"/>
                          <pic:cNvPicPr/>
                        </pic:nvPicPr>
                        <pic:blipFill>
                          <a:blip r:embed="rId21"/>
                          <a:stretch>
                            <a:fillRect/>
                          </a:stretch>
                        </pic:blipFill>
                        <pic:spPr>
                          <a:xfrm>
                            <a:off x="0" y="0"/>
                            <a:ext cx="964921"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(10)</w:t>
            </w:r>
          </w:p>
        </w:tc>
      </w:tr>
    </w:tbl>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897352" cy="205740"/>
                  <wp:docPr id="13" name="Picture 13"/>
                  <wp:cNvGraphicFramePr>
                    <a:graphicFrameLocks noChangeAspect="1"/>
                  </wp:cNvGraphicFramePr>
                  <a:graphic>
                    <a:graphicData uri="http://schemas.openxmlformats.org/drawingml/2006/picture">
                      <pic:pic>
                        <pic:nvPicPr>
                          <pic:cNvPr id="0" name="eq11.png"/>
                          <pic:cNvPicPr/>
                        </pic:nvPicPr>
                        <pic:blipFill>
                          <a:blip r:embed="rId22"/>
                          <a:stretch>
                            <a:fillRect/>
                          </a:stretch>
                        </pic:blipFill>
                        <pic:spPr>
                          <a:xfrm>
                            <a:off x="0" y="0"/>
                            <a:ext cx="897352"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(11)</w:t>
            </w:r>
          </w:p>
        </w:tc>
      </w:tr>
    </w:tbl>
    <w:p>
      <w:pPr>
        <w:spacing w:after="120" w:before="0" w:line="276" w:lineRule="auto"/>
        <w:ind w:firstLine="259"/>
        <w:jc w:val="both"/>
      </w:pPr>
      <w:r>
        <w:rPr>
          <w:rFonts w:ascii="Times New Roman" w:hAnsi="Times New Roman" w:eastAsia="Times New Roman"/>
          <w:b w:val="0"/>
          <w:i w:val="0"/>
          <w:smallCaps w:val="0"/>
          <w:sz w:val="19"/>
        </w:rPr>
        <w:t>One pairing-independent distributional metric (1-Wasserstein / Earth Mover's distance):</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742044" cy="205740"/>
                  <wp:docPr id="14" name="Picture 14"/>
                  <wp:cNvGraphicFramePr>
                    <a:graphicFrameLocks noChangeAspect="1"/>
                  </wp:cNvGraphicFramePr>
                  <a:graphic>
                    <a:graphicData uri="http://schemas.openxmlformats.org/drawingml/2006/picture">
                      <pic:pic>
                        <pic:nvPicPr>
                          <pic:cNvPr id="0" name="eq12.png"/>
                          <pic:cNvPicPr/>
                        </pic:nvPicPr>
                        <pic:blipFill>
                          <a:blip r:embed="rId23"/>
                          <a:stretch>
                            <a:fillRect/>
                          </a:stretch>
                        </pic:blipFill>
                        <pic:spPr>
                          <a:xfrm>
                            <a:off x="0" y="0"/>
                            <a:ext cx="1742044"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(12)</w:t>
            </w:r>
          </w:p>
        </w:tc>
      </w:tr>
    </w:tbl>
    <w:p>
      <w:pPr>
        <w:spacing w:after="120" w:before="0" w:line="276" w:lineRule="auto"/>
        <w:ind w:firstLine="259"/>
        <w:jc w:val="both"/>
      </w:pPr>
      <w:r>
        <w:rPr>
          <w:rFonts w:ascii="Times New Roman" w:hAnsi="Times New Roman" w:eastAsia="Times New Roman"/>
          <w:b w:val="0"/>
          <w:i w:val="0"/>
          <w:smallCaps w:val="0"/>
          <w:sz w:val="19"/>
        </w:rPr>
        <w:t>A second distributional metric, Multi-Kernel Maximum Mean Discrepancy, using an RBF kernel and the unbiased two-sample MMD² estimator (self-pairs excluded):</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2126179" cy="171450"/>
                  <wp:docPr id="15" name="Picture 15"/>
                  <wp:cNvGraphicFramePr>
                    <a:graphicFrameLocks noChangeAspect="1"/>
                  </wp:cNvGraphicFramePr>
                  <a:graphic>
                    <a:graphicData uri="http://schemas.openxmlformats.org/drawingml/2006/picture">
                      <pic:pic>
                        <pic:nvPicPr>
                          <pic:cNvPr id="0" name="eq13.png"/>
                          <pic:cNvPicPr/>
                        </pic:nvPicPr>
                        <pic:blipFill>
                          <a:blip r:embed="rId24"/>
                          <a:stretch>
                            <a:fillRect/>
                          </a:stretch>
                        </pic:blipFill>
                        <pic:spPr>
                          <a:xfrm>
                            <a:off x="0" y="0"/>
                            <a:ext cx="2126179" cy="17145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(13)</w:t>
            </w:r>
          </w:p>
        </w:tc>
      </w:tr>
    </w:tbl>
    <w:p>
      <w:pPr>
        <w:spacing w:after="120" w:before="0" w:line="276" w:lineRule="auto"/>
        <w:ind w:firstLine="259"/>
        <w:jc w:val="both"/>
      </w:pPr>
      <w:r>
        <w:rPr>
          <w:rFonts w:ascii="Times New Roman" w:hAnsi="Times New Roman" w:eastAsia="Times New Roman"/>
          <w:b w:val="0"/>
          <w:i w:val="0"/>
          <w:smallCaps w:val="0"/>
          <w:sz w:val="19"/>
        </w:rPr>
        <w:t>averaged over three fixed bandwidth multipliers {0.5, 1.0, 2.0}×γ₀ around a median-heuristic base bandwidth γ₀, clamped at zero before the square root:</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566027" cy="171450"/>
                  <wp:docPr id="16" name="Picture 16"/>
                  <wp:cNvGraphicFramePr>
                    <a:graphicFrameLocks noChangeAspect="1"/>
                  </wp:cNvGraphicFramePr>
                  <a:graphic>
                    <a:graphicData uri="http://schemas.openxmlformats.org/drawingml/2006/picture">
                      <pic:pic>
                        <pic:nvPicPr>
                          <pic:cNvPr id="0" name="eq14.png"/>
                          <pic:cNvPicPr/>
                        </pic:nvPicPr>
                        <pic:blipFill>
                          <a:blip r:embed="rId25"/>
                          <a:stretch>
                            <a:fillRect/>
                          </a:stretch>
                        </pic:blipFill>
                        <pic:spPr>
                          <a:xfrm>
                            <a:off x="0" y="0"/>
                            <a:ext cx="1566027" cy="17145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(14)</w:t>
            </w:r>
          </w:p>
        </w:tc>
      </w:tr>
    </w:tbl>
    <w:p>
      <w:pPr>
        <w:spacing w:after="120" w:before="0" w:line="276" w:lineRule="auto"/>
        <w:ind w:firstLine="259"/>
        <w:jc w:val="both"/>
      </w:pPr>
      <w:r>
        <w:rPr>
          <w:rFonts w:ascii="Times New Roman" w:hAnsi="Times New Roman" w:eastAsia="Times New Roman"/>
          <w:b w:val="0"/>
          <w:i w:val="0"/>
          <w:smallCaps w:val="0"/>
          <w:sz w:val="19"/>
        </w:rPr>
        <w:t>Every raw metric is squared,</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408117" cy="205740"/>
                  <wp:docPr id="17" name="Picture 17"/>
                  <wp:cNvGraphicFramePr>
                    <a:graphicFrameLocks noChangeAspect="1"/>
                  </wp:cNvGraphicFramePr>
                  <a:graphic>
                    <a:graphicData uri="http://schemas.openxmlformats.org/drawingml/2006/picture">
                      <pic:pic>
                        <pic:nvPicPr>
                          <pic:cNvPr id="0" name="eq15.png"/>
                          <pic:cNvPicPr/>
                        </pic:nvPicPr>
                        <pic:blipFill>
                          <a:blip r:embed="rId26"/>
                          <a:stretch>
                            <a:fillRect/>
                          </a:stretch>
                        </pic:blipFill>
                        <pic:spPr>
                          <a:xfrm>
                            <a:off x="0" y="0"/>
                            <a:ext cx="1408117"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(15)</w:t>
            </w:r>
          </w:p>
        </w:tc>
      </w:tr>
    </w:tbl>
    <w:p>
      <w:pPr>
        <w:spacing w:after="120" w:before="0" w:line="276" w:lineRule="auto"/>
        <w:ind w:firstLine="259"/>
        <w:jc w:val="both"/>
      </w:pPr>
      <w:r>
        <w:rPr>
          <w:rFonts w:ascii="Times New Roman" w:hAnsi="Times New Roman" w:eastAsia="Times New Roman"/>
          <w:b w:val="0"/>
          <w:i w:val="0"/>
          <w:smallCaps w:val="0"/>
          <w:sz w:val="19"/>
        </w:rPr>
        <w:t>then min-max normalized against a rolling historical window of past squared values:</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1508074" cy="205740"/>
                  <wp:docPr id="18" name="Picture 18"/>
                  <wp:cNvGraphicFramePr>
                    <a:graphicFrameLocks noChangeAspect="1"/>
                  </wp:cNvGraphicFramePr>
                  <a:graphic>
                    <a:graphicData uri="http://schemas.openxmlformats.org/drawingml/2006/picture">
                      <pic:pic>
                        <pic:nvPicPr>
                          <pic:cNvPr id="0" name="eq16.png"/>
                          <pic:cNvPicPr/>
                        </pic:nvPicPr>
                        <pic:blipFill>
                          <a:blip r:embed="rId27"/>
                          <a:stretch>
                            <a:fillRect/>
                          </a:stretch>
                        </pic:blipFill>
                        <pic:spPr>
                          <a:xfrm>
                            <a:off x="0" y="0"/>
                            <a:ext cx="1508074"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(16)</w:t>
            </w:r>
          </w:p>
        </w:tc>
      </w:tr>
    </w:tbl>
    <w:p>
      <w:pPr>
        <w:spacing w:after="120" w:before="0" w:line="276" w:lineRule="auto"/>
        <w:ind w:firstLine="259"/>
        <w:jc w:val="both"/>
      </w:pPr>
      <w:r>
        <w:rPr>
          <w:rFonts w:ascii="Times New Roman" w:hAnsi="Times New Roman" w:eastAsia="Times New Roman"/>
          <w:b w:val="0"/>
          <w:i w:val="0"/>
          <w:smallCaps w:val="0"/>
          <w:sz w:val="19"/>
        </w:rPr>
        <w:t>and combined into one composite score per component:</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2480001" cy="205740"/>
                  <wp:docPr id="19" name="Picture 19"/>
                  <wp:cNvGraphicFramePr>
                    <a:graphicFrameLocks noChangeAspect="1"/>
                  </wp:cNvGraphicFramePr>
                  <a:graphic>
                    <a:graphicData uri="http://schemas.openxmlformats.org/drawingml/2006/picture">
                      <pic:pic>
                        <pic:nvPicPr>
                          <pic:cNvPr id="0" name="eq17.png"/>
                          <pic:cNvPicPr/>
                        </pic:nvPicPr>
                        <pic:blipFill>
                          <a:blip r:embed="rId28"/>
                          <a:stretch>
                            <a:fillRect/>
                          </a:stretch>
                        </pic:blipFill>
                        <pic:spPr>
                          <a:xfrm>
                            <a:off x="0" y="0"/>
                            <a:ext cx="2480001"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(17)</w:t>
            </w:r>
          </w:p>
        </w:tc>
      </w:tr>
    </w:tbl>
    <w:p>
      <w:pPr>
        <w:sectPr>
          <w:type w:val="continuous"/>
          <w:pgSz w:w="12240" w:h="15840"/>
          <w:pgMar w:top="720" w:right="720" w:bottom="720" w:left="720" w:header="720" w:footer="720" w:gutter="0"/>
          <w:docGrid w:linePitch="360"/>
          <w:cols w:num="2" w:space="288"/>
        </w:sectPr>
      </w:pPr>
    </w:p>
    <w:p>
      <w:pPr>
        <w:spacing w:after="40" w:before="160" w:line="276" w:lineRule="auto"/>
        <w:jc w:val="left"/>
      </w:pPr>
      <w:r>
        <w:rPr>
          <w:rFonts w:ascii="Times New Roman" w:hAnsi="Times New Roman" w:eastAsia="Times New Roman"/>
          <w:b/>
          <w:i w:val="0"/>
          <w:smallCaps w:val="0"/>
          <w:sz w:val="19"/>
        </w:rPr>
        <w:t>Algorithm 2 — Rolling Fidelity Evaluation (src/fidelity/evaluator.py)</w:t>
      </w:r>
    </w:p>
    <w:tbl>
      <w:tblPr>
        <w:tblW w:type="auto" w:w="0"/>
        <w:jc w:val="center"/>
        <w:tblLayout w:type="fixed"/>
        <w:tblLook w:firstColumn="1" w:firstRow="1" w:lastColumn="0" w:lastRow="0" w:noHBand="0" w:noVBand="1" w:val="04A0"/>
      </w:tblPr>
      <w:tblGrid>
        <w:gridCol w:w="10800"/>
      </w:tblGrid>
      <w:tr>
        <w:tc>
          <w:tcPr>
            <w:tcW w:type="dxa" w:w="10080"/>
            <w:tcBorders>
              <w:top w:val="single" w:sz="6" w:color="404040"/>
              <w:left w:val="single" w:sz="6" w:color="404040"/>
              <w:bottom w:val="single" w:sz="6" w:color="404040"/>
              <w:right w:val="single" w:sz="6" w:color="404040"/>
            </w:tcBorders>
            <w:shd w:val="clear" w:color="auto" w:fill="F4F4F4"/>
          </w:tcPr>
          <w:p>
            <w:pPr>
              <w:spacing w:after="20" w:before="20" w:line="240" w:lineRule="auto"/>
            </w:pPr>
            <w:r>
              <w:rPr>
                <w:rFonts w:ascii="Courier New" w:hAnsi="Courier New" w:eastAsia="Courier New"/>
                <w:b w:val="0"/>
                <w:i w:val="0"/>
                <w:smallCaps w:val="0"/>
                <w:sz w:val="15"/>
              </w:rPr>
              <w:t>Input: component c, ground truth y, prediction y_hat, window W[c]</w:t>
            </w:r>
          </w:p>
          <w:p>
            <w:pPr>
              <w:spacing w:after="20" w:before="20" w:line="240" w:lineRule="auto"/>
            </w:pPr>
            <w:r>
              <w:rPr>
                <w:rFonts w:ascii="Courier New" w:hAnsi="Courier New" w:eastAsia="Courier New"/>
                <w:b w:val="0"/>
                <w:i w:val="0"/>
                <w:smallCaps w:val="0"/>
                <w:sz w:val="15"/>
              </w:rPr>
              <w:t>for m in {RMSE, MAE, Wasserstein, MK-MMD}:</w:t>
            </w:r>
          </w:p>
          <w:p>
            <w:pPr>
              <w:spacing w:after="20" w:before="20" w:line="240" w:lineRule="auto"/>
            </w:pPr>
            <w:r>
              <w:rPr>
                <w:rFonts w:ascii="Courier New" w:hAnsi="Courier New" w:eastAsia="Courier New"/>
                <w:b w:val="0"/>
                <w:i w:val="0"/>
                <w:smallCaps w:val="0"/>
                <w:sz w:val="15"/>
              </w:rPr>
              <w:t xml:space="preserve">    raw[m] &lt;- ComputeMetric(m, y, y_hat)</w:t>
            </w:r>
          </w:p>
          <w:p>
            <w:pPr>
              <w:spacing w:after="20" w:before="20" w:line="240" w:lineRule="auto"/>
            </w:pPr>
            <w:r>
              <w:rPr>
                <w:rFonts w:ascii="Courier New" w:hAnsi="Courier New" w:eastAsia="Courier New"/>
                <w:b w:val="0"/>
                <w:i w:val="0"/>
                <w:smallCaps w:val="0"/>
                <w:sz w:val="15"/>
              </w:rPr>
              <w:t xml:space="preserve">    sq[m]  &lt;- raw[m] ** 2</w:t>
            </w:r>
          </w:p>
          <w:p>
            <w:pPr>
              <w:spacing w:after="20" w:before="20" w:line="240" w:lineRule="auto"/>
            </w:pPr>
            <w:r>
              <w:rPr>
                <w:rFonts w:ascii="Courier New" w:hAnsi="Courier New" w:eastAsia="Courier New"/>
                <w:b w:val="0"/>
                <w:i w:val="0"/>
                <w:smallCaps w:val="0"/>
                <w:sz w:val="15"/>
              </w:rPr>
              <w:t>if len(W[c][m]) &lt; MIN_HISTORY for any m:</w:t>
            </w:r>
          </w:p>
          <w:p>
            <w:pPr>
              <w:spacing w:after="20" w:before="20" w:line="240" w:lineRule="auto"/>
            </w:pPr>
            <w:r>
              <w:rPr>
                <w:rFonts w:ascii="Courier New" w:hAnsi="Courier New" w:eastAsia="Courier New"/>
                <w:b w:val="0"/>
                <w:i w:val="0"/>
                <w:smallCaps w:val="0"/>
                <w:sz w:val="15"/>
              </w:rPr>
              <w:t xml:space="preserve">    return status = INSUFFICIENT_HISTORY, score = None</w:t>
            </w:r>
          </w:p>
          <w:p>
            <w:pPr>
              <w:spacing w:after="20" w:before="20" w:line="240" w:lineRule="auto"/>
            </w:pPr>
            <w:r>
              <w:rPr>
                <w:rFonts w:ascii="Courier New" w:hAnsi="Courier New" w:eastAsia="Courier New"/>
                <w:b w:val="0"/>
                <w:i w:val="0"/>
                <w:smallCaps w:val="0"/>
                <w:sz w:val="15"/>
              </w:rPr>
              <w:t>for m in {RMSE, MAE, Wasserstein, MK-MMD}:</w:t>
            </w:r>
          </w:p>
          <w:p>
            <w:pPr>
              <w:spacing w:after="20" w:before="20" w:line="240" w:lineRule="auto"/>
            </w:pPr>
            <w:r>
              <w:rPr>
                <w:rFonts w:ascii="Courier New" w:hAnsi="Courier New" w:eastAsia="Courier New"/>
                <w:b w:val="0"/>
                <w:i w:val="0"/>
                <w:smallCaps w:val="0"/>
                <w:sz w:val="15"/>
              </w:rPr>
              <w:t xml:space="preserve">    norm[m] &lt;- (sq[m] - min(W[c][m])) / (max(W[c][m]) - min(W[c][m]) + eps)</w:t>
            </w:r>
          </w:p>
          <w:p>
            <w:pPr>
              <w:spacing w:after="20" w:before="20" w:line="240" w:lineRule="auto"/>
            </w:pPr>
            <w:r>
              <w:rPr>
                <w:rFonts w:ascii="Courier New" w:hAnsi="Courier New" w:eastAsia="Courier New"/>
                <w:b w:val="0"/>
                <w:i w:val="0"/>
                <w:smallCaps w:val="0"/>
                <w:sz w:val="15"/>
              </w:rPr>
              <w:t>score &lt;- 1 - mean(norm[RMSE], norm[MAE], norm[Wasserstein], norm[MK-MMD])</w:t>
            </w:r>
          </w:p>
          <w:p>
            <w:pPr>
              <w:spacing w:after="20" w:before="20" w:line="240" w:lineRule="auto"/>
            </w:pPr>
            <w:r>
              <w:rPr>
                <w:rFonts w:ascii="Courier New" w:hAnsi="Courier New" w:eastAsia="Courier New"/>
                <w:b w:val="0"/>
                <w:i w:val="0"/>
                <w:smallCaps w:val="0"/>
                <w:sz w:val="15"/>
              </w:rPr>
              <w:t>if update_window: append sq[m] to W[c][m] for each m</w:t>
            </w:r>
          </w:p>
          <w:p>
            <w:pPr>
              <w:spacing w:after="20" w:before="20" w:line="240" w:lineRule="auto"/>
            </w:pPr>
            <w:r>
              <w:rPr>
                <w:rFonts w:ascii="Courier New" w:hAnsi="Courier New" w:eastAsia="Courier New"/>
                <w:b w:val="0"/>
                <w:i w:val="0"/>
                <w:smallCaps w:val="0"/>
                <w:sz w:val="15"/>
              </w:rPr>
              <w:t>return status = OK, score</w:t>
            </w:r>
          </w:p>
        </w:tc>
      </w:tr>
    </w:tbl>
    <w:p>
      <w:pPr>
        <w:spacing w:after="8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D. Adaptation Decision and Verification Thresholds</w:t>
      </w:r>
    </w:p>
    <w:p>
      <w:pPr>
        <w:spacing w:after="120" w:before="0" w:line="276" w:lineRule="auto"/>
        <w:ind w:firstLine="259"/>
        <w:jc w:val="both"/>
      </w:pPr>
      <w:r>
        <w:rPr>
          <w:rFonts w:ascii="Times New Roman" w:hAnsi="Times New Roman" w:eastAsia="Times New Roman"/>
          <w:b w:val="0"/>
          <w:i w:val="0"/>
          <w:smallCaps w:val="0"/>
          <w:sz w:val="19"/>
        </w:rPr>
        <w:t>The reinforcement-learning reward at adaptation step t (src/adaptation/rl_env.py) is the verified fidelity improvement net of a strategy-specific cost penalty:</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3575761" cy="205740"/>
                  <wp:docPr id="20" name="Picture 20"/>
                  <wp:cNvGraphicFramePr>
                    <a:graphicFrameLocks noChangeAspect="1"/>
                  </wp:cNvGraphicFramePr>
                  <a:graphic>
                    <a:graphicData uri="http://schemas.openxmlformats.org/drawingml/2006/picture">
                      <pic:pic>
                        <pic:nvPicPr>
                          <pic:cNvPr id="0" name="eq19.png"/>
                          <pic:cNvPicPr/>
                        </pic:nvPicPr>
                        <pic:blipFill>
                          <a:blip r:embed="rId29"/>
                          <a:stretch>
                            <a:fillRect/>
                          </a:stretch>
                        </pic:blipFill>
                        <pic:spPr>
                          <a:xfrm>
                            <a:off x="0" y="0"/>
                            <a:ext cx="3575761"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(19)</w:t>
            </w:r>
          </w:p>
        </w:tc>
      </w:tr>
    </w:tbl>
    <w:p>
      <w:pPr>
        <w:spacing w:after="120" w:before="0" w:line="276" w:lineRule="auto"/>
        <w:ind w:firstLine="259"/>
        <w:jc w:val="both"/>
      </w:pPr>
      <w:r>
        <w:rPr>
          <w:rFonts w:ascii="Times New Roman" w:hAnsi="Times New Roman" w:eastAsia="Times New Roman"/>
          <w:b w:val="0"/>
          <w:i w:val="0"/>
          <w:smallCaps w:val="0"/>
          <w:sz w:val="19"/>
        </w:rPr>
        <w:t>with configured penalties 0.02 (Recalibrate), 0.08 (Regenerate), and 0.12 (Expand-Scope) — config/settings.yaml — making the reward-maximizing action strategy-dependent on drift severity rather than one action dominating unconditionally.</w:t>
      </w:r>
    </w:p>
    <w:p>
      <w:pPr>
        <w:spacing w:after="120" w:before="0" w:line="276" w:lineRule="auto"/>
        <w:ind w:firstLine="259"/>
        <w:jc w:val="both"/>
      </w:pPr>
      <w:r>
        <w:rPr>
          <w:rFonts w:ascii="Times New Roman" w:hAnsi="Times New Roman" w:eastAsia="Times New Roman"/>
          <w:b w:val="0"/>
          <w:i w:val="0"/>
          <w:smallCaps w:val="0"/>
          <w:sz w:val="19"/>
        </w:rPr>
        <w:t>A corrective candidate is promoted to production if and only if its independently recomputed FidelityScore exceeds the current production version's by a configured margin δ (src/adaptation/verification_agent.py):</w:t>
      </w:r>
    </w:p>
    <w:tbl>
      <w:tblPr>
        <w:tblW w:type="auto" w:w="0"/>
        <w:jc w:val="center"/>
        <w:tblLayout w:type="autofit"/>
        <w:tblLook w:firstColumn="1" w:firstRow="1" w:lastColumn="0" w:lastRow="0" w:noHBand="0" w:noVBand="1" w:val="04A0"/>
      </w:tblPr>
      <w:tblGrid>
        <w:gridCol w:w="5400"/>
        <w:gridCol w:w="5400"/>
      </w:tblGrid>
      <w:tr>
        <w:tc>
          <w:tcPr>
            <w:tcW w:type="dxa" w:w="4392"/>
            <w:tcBorders>
              <w:top w:val="nil"/>
              <w:left w:val="nil"/>
              <w:bottom w:val="nil"/>
              <w:right w:val="nil"/>
            </w:tcBorders>
            <w:vAlign w:val="center"/>
          </w:tcPr>
          <w:p>
            <w:pPr>
              <w:spacing w:after="80" w:before="80"/>
              <w:jc w:val="center"/>
            </w:pPr>
            <w:r>
              <w:drawing>
                <wp:inline xmlns:a="http://schemas.openxmlformats.org/drawingml/2006/main" xmlns:pic="http://schemas.openxmlformats.org/drawingml/2006/picture">
                  <wp:extent cx="3537585" cy="205740"/>
                  <wp:docPr id="21" name="Picture 21"/>
                  <wp:cNvGraphicFramePr>
                    <a:graphicFrameLocks noChangeAspect="1"/>
                  </wp:cNvGraphicFramePr>
                  <a:graphic>
                    <a:graphicData uri="http://schemas.openxmlformats.org/drawingml/2006/picture">
                      <pic:pic>
                        <pic:nvPicPr>
                          <pic:cNvPr id="0" name="eq18.png"/>
                          <pic:cNvPicPr/>
                        </pic:nvPicPr>
                        <pic:blipFill>
                          <a:blip r:embed="rId30"/>
                          <a:stretch>
                            <a:fillRect/>
                          </a:stretch>
                        </pic:blipFill>
                        <pic:spPr>
                          <a:xfrm>
                            <a:off x="0" y="0"/>
                            <a:ext cx="3537585" cy="205740"/>
                          </a:xfrm>
                          <a:prstGeom prst="rect"/>
                        </pic:spPr>
                      </pic:pic>
                    </a:graphicData>
                  </a:graphic>
                </wp:inline>
              </w:drawing>
            </w:r>
          </w:p>
        </w:tc>
        <w:tc>
          <w:tcPr>
            <w:tcW w:type="dxa" w:w="504"/>
            <w:tcBorders>
              <w:top w:val="nil"/>
              <w:left w:val="nil"/>
              <w:bottom w:val="nil"/>
              <w:right w:val="nil"/>
            </w:tcBorders>
            <w:vAlign w:val="center"/>
          </w:tcPr>
          <w:p>
            <w:pPr>
              <w:spacing w:after="80" w:before="80"/>
              <w:jc w:val="right"/>
            </w:pPr>
            <w:r>
              <w:rPr>
                <w:rFonts w:ascii="Times New Roman" w:hAnsi="Times New Roman" w:eastAsia="Times New Roman"/>
                <w:b w:val="0"/>
                <w:i w:val="0"/>
                <w:smallCaps w:val="0"/>
                <w:sz w:val="19"/>
              </w:rPr>
              <w:t>(18)</w:t>
            </w:r>
          </w:p>
        </w:tc>
      </w:tr>
    </w:tbl>
    <w:p>
      <w:pPr>
        <w:sectPr>
          <w:type w:val="continuous"/>
          <w:pgSz w:w="12240" w:h="15840"/>
          <w:pgMar w:top="720" w:right="720" w:bottom="720" w:left="720" w:header="720" w:footer="720" w:gutter="0"/>
          <w:docGrid w:linePitch="360"/>
          <w:cols w:num="2" w:space="288"/>
        </w:sectPr>
      </w:pPr>
    </w:p>
    <w:p>
      <w:pPr>
        <w:spacing w:after="40" w:before="160" w:line="276" w:lineRule="auto"/>
        <w:jc w:val="left"/>
      </w:pPr>
      <w:r>
        <w:rPr>
          <w:rFonts w:ascii="Times New Roman" w:hAnsi="Times New Roman" w:eastAsia="Times New Roman"/>
          <w:b/>
          <w:i w:val="0"/>
          <w:smallCaps w:val="0"/>
          <w:sz w:val="19"/>
        </w:rPr>
        <w:t>Algorithm 3 — PPO-Driven Adaptation Dispatch (src/main.py, rl_agent.py)</w:t>
      </w:r>
    </w:p>
    <w:tbl>
      <w:tblPr>
        <w:tblW w:type="auto" w:w="0"/>
        <w:jc w:val="center"/>
        <w:tblLayout w:type="fixed"/>
        <w:tblLook w:firstColumn="1" w:firstRow="1" w:lastColumn="0" w:lastRow="0" w:noHBand="0" w:noVBand="1" w:val="04A0"/>
      </w:tblPr>
      <w:tblGrid>
        <w:gridCol w:w="10800"/>
      </w:tblGrid>
      <w:tr>
        <w:tc>
          <w:tcPr>
            <w:tcW w:type="dxa" w:w="10080"/>
            <w:tcBorders>
              <w:top w:val="single" w:sz="6" w:color="404040"/>
              <w:left w:val="single" w:sz="6" w:color="404040"/>
              <w:bottom w:val="single" w:sz="6" w:color="404040"/>
              <w:right w:val="single" w:sz="6" w:color="404040"/>
            </w:tcBorders>
            <w:shd w:val="clear" w:color="auto" w:fill="F4F4F4"/>
          </w:tcPr>
          <w:p>
            <w:pPr>
              <w:spacing w:after="20" w:before="20" w:line="240" w:lineRule="auto"/>
            </w:pPr>
            <w:r>
              <w:rPr>
                <w:rFonts w:ascii="Courier New" w:hAnsi="Courier New" w:eastAsia="Courier New"/>
                <w:b w:val="0"/>
                <w:i w:val="0"/>
                <w:smallCaps w:val="0"/>
                <w:sz w:val="15"/>
              </w:rPr>
              <w:t>Input: drift event (component, severity)</w:t>
            </w:r>
          </w:p>
          <w:p>
            <w:pPr>
              <w:spacing w:after="20" w:before="20" w:line="240" w:lineRule="auto"/>
            </w:pPr>
            <w:r>
              <w:rPr>
                <w:rFonts w:ascii="Courier New" w:hAnsi="Courier New" w:eastAsia="Courier New"/>
                <w:b w:val="0"/>
                <w:i w:val="0"/>
                <w:smallCaps w:val="0"/>
                <w:sz w:val="15"/>
              </w:rPr>
              <w:t>s &lt;- BuildObservation(fidelity_scores, component, severity,</w:t>
            </w:r>
          </w:p>
          <w:p>
            <w:pPr>
              <w:spacing w:after="20" w:before="20" w:line="240" w:lineRule="auto"/>
            </w:pPr>
            <w:r>
              <w:rPr>
                <w:rFonts w:ascii="Courier New" w:hAnsi="Courier New" w:eastAsia="Courier New"/>
                <w:b w:val="0"/>
                <w:i w:val="0"/>
                <w:smallCaps w:val="0"/>
                <w:sz w:val="15"/>
              </w:rPr>
              <w:t xml:space="preserve">                       prev_action, prev_reward, net_state)</w:t>
            </w:r>
          </w:p>
          <w:p>
            <w:pPr>
              <w:spacing w:after="20" w:before="20" w:line="240" w:lineRule="auto"/>
            </w:pPr>
            <w:r>
              <w:rPr>
                <w:rFonts w:ascii="Courier New" w:hAnsi="Courier New" w:eastAsia="Courier New"/>
                <w:b w:val="0"/>
                <w:i w:val="0"/>
                <w:smallCaps w:val="0"/>
                <w:sz w:val="15"/>
              </w:rPr>
              <w:t>a &lt;- PPO.predict(s, deterministic=True)   # 0=Recalibrate 1=Regenerate 2=Expand-Scope</w:t>
            </w:r>
          </w:p>
          <w:p>
            <w:pPr>
              <w:spacing w:after="20" w:before="20" w:line="240" w:lineRule="auto"/>
            </w:pPr>
            <w:r>
              <w:rPr>
                <w:rFonts w:ascii="Courier New" w:hAnsi="Courier New" w:eastAsia="Courier New"/>
                <w:b w:val="0"/>
                <w:i w:val="0"/>
                <w:smallCaps w:val="0"/>
                <w:sz w:val="15"/>
              </w:rPr>
              <w:t>candidate &lt;- Dispatch(a, component)        # sandboxed for Regenerate/Expand-Scope</w:t>
            </w:r>
          </w:p>
          <w:p>
            <w:pPr>
              <w:spacing w:after="20" w:before="20" w:line="240" w:lineRule="auto"/>
            </w:pPr>
            <w:r>
              <w:rPr>
                <w:rFonts w:ascii="Courier New" w:hAnsi="Courier New" w:eastAsia="Courier New"/>
                <w:b w:val="0"/>
                <w:i w:val="0"/>
                <w:smallCaps w:val="0"/>
                <w:sz w:val="15"/>
              </w:rPr>
              <w:t>verdict, fid_before, fid_after &lt;- Verify(candidate, component)   # Algorithm 4</w:t>
            </w:r>
          </w:p>
          <w:p>
            <w:pPr>
              <w:spacing w:after="20" w:before="20" w:line="240" w:lineRule="auto"/>
            </w:pPr>
            <w:r>
              <w:rPr>
                <w:rFonts w:ascii="Courier New" w:hAnsi="Courier New" w:eastAsia="Courier New"/>
                <w:b w:val="0"/>
                <w:i w:val="0"/>
                <w:smallCaps w:val="0"/>
                <w:sz w:val="15"/>
              </w:rPr>
              <w:t>if verdict == ACCEPT: Registry.promote(candidate)</w:t>
            </w:r>
          </w:p>
          <w:p>
            <w:pPr>
              <w:spacing w:after="20" w:before="20" w:line="240" w:lineRule="auto"/>
            </w:pPr>
            <w:r>
              <w:rPr>
                <w:rFonts w:ascii="Courier New" w:hAnsi="Courier New" w:eastAsia="Courier New"/>
                <w:b w:val="0"/>
                <w:i w:val="0"/>
                <w:smallCaps w:val="0"/>
                <w:sz w:val="15"/>
              </w:rPr>
              <w:t>else: Registry.reject(candidate)            # production untouched</w:t>
            </w:r>
          </w:p>
          <w:p>
            <w:pPr>
              <w:spacing w:after="20" w:before="20" w:line="240" w:lineRule="auto"/>
            </w:pPr>
            <w:r>
              <w:rPr>
                <w:rFonts w:ascii="Courier New" w:hAnsi="Courier New" w:eastAsia="Courier New"/>
                <w:b w:val="0"/>
                <w:i w:val="0"/>
                <w:smallCaps w:val="0"/>
                <w:sz w:val="15"/>
              </w:rPr>
              <w:t>RecordLifecycleEvent(component, a, candidate, fid_before, fid_after, verdict)</w:t>
            </w:r>
          </w:p>
        </w:tc>
      </w:tr>
    </w:tbl>
    <w:p>
      <w:pPr>
        <w:spacing w:after="80" w:before="0" w:line="276" w:lineRule="auto"/>
      </w:pPr>
    </w:p>
    <w:p>
      <w:pPr>
        <w:sectPr>
          <w:type w:val="continuous"/>
          <w:pgSz w:w="12240" w:h="15840"/>
          <w:pgMar w:top="720" w:right="720" w:bottom="720" w:left="720" w:header="720" w:footer="720" w:gutter="0"/>
          <w:docGrid w:linePitch="360"/>
          <w:cols w:num="1" w:space="288"/>
        </w:sectPr>
      </w:pPr>
    </w:p>
    <w:p>
      <w:pPr>
        <w:sectPr>
          <w:type w:val="continuous"/>
          <w:pgSz w:w="12240" w:h="15840"/>
          <w:pgMar w:top="720" w:right="720" w:bottom="720" w:left="720" w:header="720" w:footer="720" w:gutter="0"/>
          <w:docGrid w:linePitch="360"/>
          <w:cols w:num="2" w:space="288"/>
        </w:sectPr>
      </w:pPr>
    </w:p>
    <w:p>
      <w:pPr>
        <w:spacing w:after="40" w:before="160" w:line="276" w:lineRule="auto"/>
        <w:jc w:val="left"/>
      </w:pPr>
      <w:r>
        <w:rPr>
          <w:rFonts w:ascii="Times New Roman" w:hAnsi="Times New Roman" w:eastAsia="Times New Roman"/>
          <w:b/>
          <w:i w:val="0"/>
          <w:smallCaps w:val="0"/>
          <w:sz w:val="19"/>
        </w:rPr>
        <w:t>Algorithm 4 — Deterministic Verification Gate (src/adaptation/verification_agent.py)</w:t>
      </w:r>
    </w:p>
    <w:tbl>
      <w:tblPr>
        <w:tblW w:type="auto" w:w="0"/>
        <w:jc w:val="center"/>
        <w:tblLayout w:type="fixed"/>
        <w:tblLook w:firstColumn="1" w:firstRow="1" w:lastColumn="0" w:lastRow="0" w:noHBand="0" w:noVBand="1" w:val="04A0"/>
      </w:tblPr>
      <w:tblGrid>
        <w:gridCol w:w="10800"/>
      </w:tblGrid>
      <w:tr>
        <w:tc>
          <w:tcPr>
            <w:tcW w:type="dxa" w:w="10080"/>
            <w:tcBorders>
              <w:top w:val="single" w:sz="6" w:color="404040"/>
              <w:left w:val="single" w:sz="6" w:color="404040"/>
              <w:bottom w:val="single" w:sz="6" w:color="404040"/>
              <w:right w:val="single" w:sz="6" w:color="404040"/>
            </w:tcBorders>
            <w:shd w:val="clear" w:color="auto" w:fill="F4F4F4"/>
          </w:tcPr>
          <w:p>
            <w:pPr>
              <w:spacing w:after="20" w:before="20" w:line="240" w:lineRule="auto"/>
            </w:pPr>
            <w:r>
              <w:rPr>
                <w:rFonts w:ascii="Courier New" w:hAnsi="Courier New" w:eastAsia="Courier New"/>
                <w:b w:val="0"/>
                <w:i w:val="0"/>
                <w:smallCaps w:val="0"/>
                <w:sz w:val="15"/>
              </w:rPr>
              <w:t>Input: candidate version v_new for component c, production version v_old</w:t>
            </w:r>
          </w:p>
          <w:p>
            <w:pPr>
              <w:spacing w:after="20" w:before="20" w:line="240" w:lineRule="auto"/>
            </w:pPr>
            <w:r>
              <w:rPr>
                <w:rFonts w:ascii="Courier New" w:hAnsi="Courier New" w:eastAsia="Courier New"/>
                <w:b w:val="0"/>
                <w:i w:val="0"/>
                <w:smallCaps w:val="0"/>
                <w:sz w:val="15"/>
              </w:rPr>
              <w:t>fid_old &lt;- FidelityEvaluator.evaluate(c, y_true, predict(v_old, x), update_window=True)</w:t>
            </w:r>
          </w:p>
          <w:p>
            <w:pPr>
              <w:spacing w:after="20" w:before="20" w:line="240" w:lineRule="auto"/>
            </w:pPr>
            <w:r>
              <w:rPr>
                <w:rFonts w:ascii="Courier New" w:hAnsi="Courier New" w:eastAsia="Courier New"/>
                <w:b w:val="0"/>
                <w:i w:val="0"/>
                <w:smallCaps w:val="0"/>
                <w:sz w:val="15"/>
              </w:rPr>
              <w:t>fid_new &lt;- FidelityEvaluator.evaluate(c, y_true, predict(v_new, x), update_window=False)</w:t>
            </w:r>
          </w:p>
          <w:p>
            <w:pPr>
              <w:spacing w:after="20" w:before="20" w:line="240" w:lineRule="auto"/>
            </w:pPr>
            <w:r>
              <w:rPr>
                <w:rFonts w:ascii="Courier New" w:hAnsi="Courier New" w:eastAsia="Courier New"/>
                <w:b w:val="0"/>
                <w:i w:val="0"/>
                <w:smallCaps w:val="0"/>
                <w:sz w:val="15"/>
              </w:rPr>
              <w:t>checks &lt;- [ArtifactExists(v_new), InterfaceMatches(v_new, c),</w:t>
            </w:r>
          </w:p>
          <w:p>
            <w:pPr>
              <w:spacing w:after="20" w:before="20" w:line="240" w:lineRule="auto"/>
            </w:pPr>
            <w:r>
              <w:rPr>
                <w:rFonts w:ascii="Courier New" w:hAnsi="Courier New" w:eastAsia="Courier New"/>
                <w:b w:val="0"/>
                <w:i w:val="0"/>
                <w:smallCaps w:val="0"/>
                <w:sz w:val="15"/>
              </w:rPr>
              <w:t xml:space="preserve">           EvaluationRan(fid_old, fid_new), AllFinite(predict(v_new, x))]</w:t>
            </w:r>
          </w:p>
          <w:p>
            <w:pPr>
              <w:spacing w:after="20" w:before="20" w:line="240" w:lineRule="auto"/>
            </w:pPr>
            <w:r>
              <w:rPr>
                <w:rFonts w:ascii="Courier New" w:hAnsi="Courier New" w:eastAsia="Courier New"/>
                <w:b w:val="0"/>
                <w:i w:val="0"/>
                <w:smallCaps w:val="0"/>
                <w:sz w:val="15"/>
              </w:rPr>
              <w:t>if all(checks) and fid_new.score &gt; fid_old.score + delta:</w:t>
            </w:r>
          </w:p>
          <w:p>
            <w:pPr>
              <w:spacing w:after="20" w:before="20" w:line="240" w:lineRule="auto"/>
            </w:pPr>
            <w:r>
              <w:rPr>
                <w:rFonts w:ascii="Courier New" w:hAnsi="Courier New" w:eastAsia="Courier New"/>
                <w:b w:val="0"/>
                <w:i w:val="0"/>
                <w:smallCaps w:val="0"/>
                <w:sz w:val="15"/>
              </w:rPr>
              <w:t xml:space="preserve">    decision &lt;- ACCEPT</w:t>
            </w:r>
          </w:p>
          <w:p>
            <w:pPr>
              <w:spacing w:after="20" w:before="20" w:line="240" w:lineRule="auto"/>
            </w:pPr>
            <w:r>
              <w:rPr>
                <w:rFonts w:ascii="Courier New" w:hAnsi="Courier New" w:eastAsia="Courier New"/>
                <w:b w:val="0"/>
                <w:i w:val="0"/>
                <w:smallCaps w:val="0"/>
                <w:sz w:val="15"/>
              </w:rPr>
              <w:t>else:</w:t>
            </w:r>
          </w:p>
          <w:p>
            <w:pPr>
              <w:spacing w:after="20" w:before="20" w:line="240" w:lineRule="auto"/>
            </w:pPr>
            <w:r>
              <w:rPr>
                <w:rFonts w:ascii="Courier New" w:hAnsi="Courier New" w:eastAsia="Courier New"/>
                <w:b w:val="0"/>
                <w:i w:val="0"/>
                <w:smallCaps w:val="0"/>
                <w:sz w:val="15"/>
              </w:rPr>
              <w:t xml:space="preserve">    decision &lt;- REJECT      # any single failed check forces REJECT</w:t>
            </w:r>
          </w:p>
          <w:p>
            <w:pPr>
              <w:spacing w:after="20" w:before="20" w:line="240" w:lineRule="auto"/>
            </w:pPr>
            <w:r>
              <w:rPr>
                <w:rFonts w:ascii="Courier New" w:hAnsi="Courier New" w:eastAsia="Courier New"/>
                <w:b w:val="0"/>
                <w:i w:val="0"/>
                <w:smallCaps w:val="0"/>
                <w:sz w:val="15"/>
              </w:rPr>
              <w:t>explanation &lt;- LLM.explain(decision, fid_old, fid_new)   # advisory text only,</w:t>
            </w:r>
          </w:p>
          <w:p>
            <w:pPr>
              <w:spacing w:after="20" w:before="20" w:line="240" w:lineRule="auto"/>
            </w:pPr>
            <w:r>
              <w:rPr>
                <w:rFonts w:ascii="Courier New" w:hAnsi="Courier New" w:eastAsia="Courier New"/>
                <w:b w:val="0"/>
                <w:i w:val="0"/>
                <w:smallCaps w:val="0"/>
                <w:sz w:val="15"/>
              </w:rPr>
              <w:t xml:space="preserve">                                                            # decision already final</w:t>
            </w:r>
          </w:p>
          <w:p>
            <w:pPr>
              <w:spacing w:after="20" w:before="20" w:line="240" w:lineRule="auto"/>
            </w:pPr>
            <w:r>
              <w:rPr>
                <w:rFonts w:ascii="Courier New" w:hAnsi="Courier New" w:eastAsia="Courier New"/>
                <w:b w:val="0"/>
                <w:i w:val="0"/>
                <w:smallCaps w:val="0"/>
                <w:sz w:val="15"/>
              </w:rPr>
              <w:t>return decision, fid_old.score, fid_new.score, explanation</w:t>
            </w:r>
          </w:p>
        </w:tc>
      </w:tr>
    </w:tbl>
    <w:p>
      <w:pPr>
        <w:spacing w:after="80" w:before="0" w:line="276" w:lineRule="auto"/>
      </w:pPr>
    </w:p>
    <w:p>
      <w:pPr>
        <w:sectPr>
          <w:type w:val="continuous"/>
          <w:pgSz w:w="12240" w:h="15840"/>
          <w:pgMar w:top="720" w:right="720" w:bottom="720" w:left="720" w:header="720" w:footer="720" w:gutter="0"/>
          <w:docGrid w:linePitch="360"/>
          <w:cols w:num="1" w:space="288"/>
        </w:sectPr>
      </w:pPr>
    </w:p>
    <w:p>
      <w:pPr>
        <w:pStyle w:val="Heading1"/>
        <w:spacing w:before="200" w:after="120"/>
        <w:jc w:val="center"/>
      </w:pPr>
      <w:r>
        <w:rPr>
          <w:rFonts w:ascii="Times New Roman" w:hAnsi="Times New Roman" w:eastAsia="Times New Roman"/>
          <w:b/>
          <w:i w:val="0"/>
          <w:smallCaps/>
          <w:sz w:val="21"/>
        </w:rPr>
        <w:t>IV. Hardware, Software, and Implementation Details</w:t>
      </w:r>
    </w:p>
    <w:p>
      <w:pPr>
        <w:pStyle w:val="Heading2"/>
        <w:spacing w:before="120" w:after="60"/>
      </w:pPr>
      <w:r>
        <w:rPr>
          <w:rFonts w:ascii="Times New Roman" w:hAnsi="Times New Roman" w:eastAsia="Times New Roman"/>
          <w:b w:val="0"/>
          <w:i/>
          <w:smallCaps w:val="0"/>
          <w:sz w:val="19"/>
        </w:rPr>
        <w:t>A. Simulated Physical Layer ("Hardware")</w:t>
      </w:r>
    </w:p>
    <w:p>
      <w:pPr>
        <w:spacing w:after="120" w:before="0" w:line="276" w:lineRule="auto"/>
        <w:ind w:firstLine="259"/>
        <w:jc w:val="both"/>
      </w:pPr>
      <w:r>
        <w:rPr>
          <w:rFonts w:ascii="Times New Roman" w:hAnsi="Times New Roman" w:eastAsia="Times New Roman"/>
          <w:b w:val="0"/>
          <w:i w:val="0"/>
          <w:smallCaps w:val="0"/>
          <w:sz w:val="19"/>
        </w:rPr>
        <w:t>No physical radio hardware is used. The physical layer is emulated by ns-3.48 with the 5G-LENA (nr v5.1) module, a 3GPP-Release-15-conformant NR stack. Table II lists the scenario parameters actually configured in ns3_sim/nr_5g_telemetry_sim.cc. Compute hardware for model training and the full pipeline was a single development machine (12 logical cores, 7.4 GB RAM available to the process, an NVIDIA GPU with CUDA available); the PPO policy is trained on CPU by deliberate configuration (src/adaptation/rl_agent.py), since its small fully-connected policy network does not benefit from GPU transfer overhead.</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II</w:t>
        <w:br/>
        <w:t>Simulated Network / Telemetry Parameters</w:t>
      </w:r>
    </w:p>
    <w:tbl>
      <w:tblPr>
        <w:tblW w:type="auto" w:w="0"/>
        <w:jc w:val="center"/>
        <w:tblLayout w:type="fixed"/>
        <w:tblLook w:firstColumn="1" w:firstRow="1" w:lastColumn="0" w:lastRow="0" w:noHBand="0" w:noVBand="1" w:val="04A0"/>
      </w:tblPr>
      <w:tblGrid>
        <w:gridCol w:w="5400"/>
        <w:gridCol w:w="5400"/>
      </w:tblGrid>
      <w:tr>
        <w:tc>
          <w:tcPr>
            <w:tcW w:type="dxa" w:w="2880"/>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Parameter</w:t>
            </w:r>
          </w:p>
        </w:tc>
        <w:tc>
          <w:tcPr>
            <w:tcW w:type="dxa" w:w="201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Value</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UEs / gNBs</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6 UEs, 1 gNB</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Channel model</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UMa / ThreeGpp, shadowing enabled</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Center frequency / bandwidth</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3.5 GHz / 20 MHz</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Numerology</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gNB transmit power</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23.0 dBm</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Simulation duration (default)</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20 s</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Telemetry polling interval</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200 ms</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Transport</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ZeroMQ PUB/SUB, tcp://127.0.0.1:5556</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B. Software Stack</w:t>
      </w:r>
    </w:p>
    <w:p>
      <w:pPr>
        <w:spacing w:after="120" w:before="0" w:line="276" w:lineRule="auto"/>
        <w:ind w:firstLine="259"/>
        <w:jc w:val="both"/>
      </w:pPr>
      <w:r>
        <w:rPr>
          <w:rFonts w:ascii="Times New Roman" w:hAnsi="Times New Roman" w:eastAsia="Times New Roman"/>
          <w:b w:val="0"/>
          <w:i w:val="0"/>
          <w:smallCaps w:val="0"/>
          <w:sz w:val="19"/>
        </w:rPr>
        <w:t>Table III lists the primary runtime dependencies (requirements.txt).</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III</w:t>
        <w:br/>
        <w:t>Software Stack</w:t>
      </w:r>
    </w:p>
    <w:tbl>
      <w:tblPr>
        <w:tblW w:type="auto" w:w="0"/>
        <w:jc w:val="center"/>
        <w:tblLayout w:type="fixed"/>
        <w:tblLook w:firstColumn="1" w:firstRow="1" w:lastColumn="0" w:lastRow="0" w:noHBand="0" w:noVBand="1" w:val="04A0"/>
      </w:tblPr>
      <w:tblGrid>
        <w:gridCol w:w="5400"/>
        <w:gridCol w:w="5400"/>
      </w:tblGrid>
      <w:tr>
        <w:tc>
          <w:tcPr>
            <w:tcW w:type="dxa" w:w="2232"/>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Layer</w:t>
            </w:r>
          </w:p>
        </w:tc>
        <w:tc>
          <w:tcPr>
            <w:tcW w:type="dxa" w:w="266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Library / Tool</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Simulator</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ns-3.48 + 5G-LENA (nr) v5.1, C++17</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Data handling</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pandas, numpy, pyarrow (Parquet)</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Classical ML</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scikit-learn (Random Forest), XGBoost</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Reinforcement learning</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PyTorch, Gymnasium, Stable-Baselines3 (PPO)</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LLM reasoning</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Anthropic Claude API (anthropic SDK)</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Knowledge retrieval</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ChromaDB (all-MiniLM-L6-v2 embeddings)</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Transport</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PyZMQ (ZeroMQ bindings)</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Config / validation</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PyYAML, Pydantic, python-dotenv</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Testing</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pytest, pytest-cov</w:t>
            </w:r>
          </w:p>
        </w:tc>
      </w:tr>
      <w:tr>
        <w:tc>
          <w:tcPr>
            <w:tcW w:type="dxa" w:w="2232"/>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Dependency graph</w:t>
            </w:r>
          </w:p>
        </w:tc>
        <w:tc>
          <w:tcPr>
            <w:tcW w:type="dxa" w:w="266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NetworkX (topological sort)</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C. Communication Protocol and Message Format</w:t>
      </w:r>
    </w:p>
    <w:p>
      <w:pPr>
        <w:spacing w:after="120" w:before="0" w:line="276" w:lineRule="auto"/>
        <w:ind w:firstLine="259"/>
        <w:jc w:val="both"/>
      </w:pPr>
      <w:r>
        <w:rPr>
          <w:rFonts w:ascii="Times New Roman" w:hAnsi="Times New Roman" w:eastAsia="Times New Roman"/>
          <w:b w:val="0"/>
          <w:i w:val="0"/>
          <w:smallCaps w:val="0"/>
          <w:sz w:val="19"/>
        </w:rPr>
        <w:t>Telemetry is transported over a ZeroMQ publish/subscribe socket rather than a request/response API: the simulator process binds a PUB socket and publishes one JSON message per UE per polling tick; the backend's ZmqTelemetrySource subscribes and receives independently, so a slow or absent subscriber never blocks the simulator. Each message carries: timestamp, ue_id, cell_id, throughput_bps, offered_load_bps, latency_s, jitter_s, packet_loss_ratio, prb_utilization_ratio, sinr_db, rsrp_dbm, rsrq_db, ue_count, ue_speed_mps, and source (transport-stamped, never payload-trusted). Drift notifications use an analogous but separate contract: {component, severity, timestamp, metadata}.</w:t>
      </w:r>
    </w:p>
    <w:p>
      <w:pPr>
        <w:pStyle w:val="Heading2"/>
        <w:spacing w:before="120" w:after="60"/>
      </w:pPr>
      <w:r>
        <w:rPr>
          <w:rFonts w:ascii="Times New Roman" w:hAnsi="Times New Roman" w:eastAsia="Times New Roman"/>
          <w:b w:val="0"/>
          <w:i/>
          <w:smallCaps w:val="0"/>
          <w:sz w:val="19"/>
        </w:rPr>
        <w:t>D. Internal Module Interfaces</w:t>
      </w:r>
    </w:p>
    <w:p>
      <w:pPr>
        <w:spacing w:after="120" w:before="0" w:line="276" w:lineRule="auto"/>
        <w:ind w:firstLine="259"/>
        <w:jc w:val="both"/>
      </w:pPr>
      <w:r>
        <w:rPr>
          <w:rFonts w:ascii="Times New Roman" w:hAnsi="Times New Roman" w:eastAsia="Times New Roman"/>
          <w:b w:val="0"/>
          <w:i w:val="0"/>
          <w:smallCaps w:val="0"/>
          <w:sz w:val="19"/>
        </w:rPr>
        <w:t>The system exposes no external REST/HTTP API; module boundaries are Python abstract-base-class interfaces, listed in Table IV, each implemented by every concrete component so the orchestrator, sandbox, and registry can operate on any component generically.</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IV</w:t>
        <w:br/>
        <w:t>Internal Module Interfaces ("APIs")</w:t>
      </w:r>
    </w:p>
    <w:tbl>
      <w:tblPr>
        <w:tblW w:type="auto" w:w="0"/>
        <w:jc w:val="center"/>
        <w:tblLayout w:type="fixed"/>
        <w:tblLook w:firstColumn="1" w:firstRow="1" w:lastColumn="0" w:lastRow="0" w:noHBand="0" w:noVBand="1" w:val="04A0"/>
      </w:tblPr>
      <w:tblGrid>
        <w:gridCol w:w="3600"/>
        <w:gridCol w:w="3600"/>
        <w:gridCol w:w="3600"/>
      </w:tblGrid>
      <w:tr>
        <w:tc>
          <w:tcPr>
            <w:tcW w:type="dxa" w:w="165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Interface</w:t>
            </w:r>
          </w:p>
        </w:tc>
        <w:tc>
          <w:tcPr>
            <w:tcW w:type="dxa" w:w="2448"/>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Key Methods</w:t>
            </w:r>
          </w:p>
        </w:tc>
        <w:tc>
          <w:tcPr>
            <w:tcW w:type="dxa" w:w="2232"/>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Purpose</w:t>
            </w:r>
          </w:p>
        </w:tc>
      </w:tr>
      <w:tr>
        <w:tc>
          <w:tcPr>
            <w:tcW w:type="dxa" w:w="165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DTComponent</w:t>
            </w:r>
          </w:p>
        </w:tc>
        <w:tc>
          <w:tcPr>
            <w:tcW w:type="dxa" w:w="244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train, predict, evaluate, save, load</w:t>
            </w:r>
          </w:p>
        </w:tc>
        <w:tc>
          <w:tcPr>
            <w:tcW w:type="dxa" w:w="223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Prediction component contract (Modules 6-10)</w:t>
            </w:r>
          </w:p>
        </w:tc>
      </w:tr>
      <w:tr>
        <w:tc>
          <w:tcPr>
            <w:tcW w:type="dxa" w:w="165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TelemetrySource</w:t>
            </w:r>
          </w:p>
        </w:tc>
        <w:tc>
          <w:tcPr>
            <w:tcW w:type="dxa" w:w="244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records(), close()</w:t>
            </w:r>
          </w:p>
        </w:tc>
        <w:tc>
          <w:tcPr>
            <w:tcW w:type="dxa" w:w="223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Mock / real (ZeroMQ) telemetry provenance</w:t>
            </w:r>
          </w:p>
        </w:tc>
      </w:tr>
      <w:tr>
        <w:tc>
          <w:tcPr>
            <w:tcW w:type="dxa" w:w="165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DriftSource</w:t>
            </w:r>
          </w:p>
        </w:tc>
        <w:tc>
          <w:tcPr>
            <w:tcW w:type="dxa" w:w="244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events(), close()</w:t>
            </w:r>
          </w:p>
        </w:tc>
        <w:tc>
          <w:tcPr>
            <w:tcW w:type="dxa" w:w="223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Mock / external drift-event provenance</w:t>
            </w:r>
          </w:p>
        </w:tc>
      </w:tr>
      <w:tr>
        <w:tc>
          <w:tcPr>
            <w:tcW w:type="dxa" w:w="165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AnthropicClient</w:t>
            </w:r>
          </w:p>
        </w:tc>
        <w:tc>
          <w:tcPr>
            <w:tcW w:type="dxa" w:w="244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complete, complete_structured, *_safe</w:t>
            </w:r>
          </w:p>
        </w:tc>
        <w:tc>
          <w:tcPr>
            <w:tcW w:type="dxa" w:w="223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Centralized, retrying LLM access</w:t>
            </w:r>
          </w:p>
        </w:tc>
      </w:tr>
      <w:tr>
        <w:tc>
          <w:tcPr>
            <w:tcW w:type="dxa" w:w="165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ModelRegistry</w:t>
            </w:r>
          </w:p>
        </w:tc>
        <w:tc>
          <w:tcPr>
            <w:tcW w:type="dxa" w:w="244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register_version, promote, reject, rollback, get_current_version</w:t>
            </w:r>
          </w:p>
        </w:tc>
        <w:tc>
          <w:tcPr>
            <w:tcW w:type="dxa" w:w="223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Versioned model lineage (Concept C)</w:t>
            </w:r>
          </w:p>
        </w:tc>
      </w:tr>
      <w:tr>
        <w:tc>
          <w:tcPr>
            <w:tcW w:type="dxa" w:w="165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FidelityEvaluator</w:t>
            </w:r>
          </w:p>
        </w:tc>
        <w:tc>
          <w:tcPr>
            <w:tcW w:type="dxa" w:w="244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evaluate(component, y, y_hat, update_window)</w:t>
            </w:r>
          </w:p>
        </w:tc>
        <w:tc>
          <w:tcPr>
            <w:tcW w:type="dxa" w:w="223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Deterministic composite scoring</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E. DT Prediction Component Configuration</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V</w:t>
        <w:br/>
        <w:t>DT Prediction Component Configuration</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158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Component</w:t>
            </w:r>
          </w:p>
        </w:tc>
        <w:tc>
          <w:tcPr>
            <w:tcW w:type="dxa" w:w="158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Model</w:t>
            </w:r>
          </w:p>
        </w:tc>
        <w:tc>
          <w:tcPr>
            <w:tcW w:type="dxa" w:w="273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Key Hyperparameters</w:t>
            </w:r>
          </w:p>
        </w:tc>
        <w:tc>
          <w:tcPr>
            <w:tcW w:type="dxa" w:w="1872"/>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5"/>
              </w:rPr>
              <w:t>Dependencies</w:t>
            </w:r>
          </w:p>
        </w:tc>
      </w:tr>
      <w:tr>
        <w:tc>
          <w:tcPr>
            <w:tcW w:type="dxa" w:w="1584"/>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Throughput</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XGBoost</w:t>
            </w:r>
          </w:p>
        </w:tc>
        <w:tc>
          <w:tcPr>
            <w:tcW w:type="dxa" w:w="27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300 trees, depth 6, lr 0.05</w:t>
            </w:r>
          </w:p>
        </w:tc>
        <w:tc>
          <w:tcPr>
            <w:tcW w:type="dxa" w:w="187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 (root)</w:t>
            </w:r>
          </w:p>
        </w:tc>
      </w:tr>
      <w:tr>
        <w:tc>
          <w:tcPr>
            <w:tcW w:type="dxa" w:w="1584"/>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Packet Loss</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XGBoost</w:t>
            </w:r>
          </w:p>
        </w:tc>
        <w:tc>
          <w:tcPr>
            <w:tcW w:type="dxa" w:w="27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300 trees, depth 6, lr 0.05</w:t>
            </w:r>
          </w:p>
        </w:tc>
        <w:tc>
          <w:tcPr>
            <w:tcW w:type="dxa" w:w="187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 (root)</w:t>
            </w:r>
          </w:p>
        </w:tc>
      </w:tr>
      <w:tr>
        <w:tc>
          <w:tcPr>
            <w:tcW w:type="dxa" w:w="1584"/>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Latency</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XGBoost</w:t>
            </w:r>
          </w:p>
        </w:tc>
        <w:tc>
          <w:tcPr>
            <w:tcW w:type="dxa" w:w="27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300 trees, depth 6, lr 0.05</w:t>
            </w:r>
          </w:p>
        </w:tc>
        <w:tc>
          <w:tcPr>
            <w:tcW w:type="dxa" w:w="187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throughput</w:t>
            </w:r>
          </w:p>
        </w:tc>
      </w:tr>
      <w:tr>
        <w:tc>
          <w:tcPr>
            <w:tcW w:type="dxa" w:w="1584"/>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PRB Utilization</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Random Forest</w:t>
            </w:r>
          </w:p>
        </w:tc>
        <w:tc>
          <w:tcPr>
            <w:tcW w:type="dxa" w:w="27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200 trees, depth 10</w:t>
            </w:r>
          </w:p>
        </w:tc>
        <w:tc>
          <w:tcPr>
            <w:tcW w:type="dxa" w:w="187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throughput</w:t>
            </w:r>
          </w:p>
        </w:tc>
      </w:tr>
      <w:tr>
        <w:tc>
          <w:tcPr>
            <w:tcW w:type="dxa" w:w="1584"/>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5"/>
              </w:rPr>
              <w:t>Jitter</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XGBoost (reg.)</w:t>
            </w:r>
          </w:p>
        </w:tc>
        <w:tc>
          <w:tcPr>
            <w:tcW w:type="dxa" w:w="27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80 trees, depth 2, lr 0.1, subsample 0.9</w:t>
            </w:r>
          </w:p>
        </w:tc>
        <w:tc>
          <w:tcPr>
            <w:tcW w:type="dxa" w:w="187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5"/>
              </w:rPr>
              <w:t>throughput, latency, packet loss</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pStyle w:val="Heading2"/>
        <w:spacing w:before="120" w:after="60"/>
      </w:pPr>
      <w:r>
        <w:rPr>
          <w:rFonts w:ascii="Times New Roman" w:hAnsi="Times New Roman" w:eastAsia="Times New Roman"/>
          <w:b w:val="0"/>
          <w:i/>
          <w:smallCaps w:val="0"/>
          <w:sz w:val="19"/>
        </w:rPr>
        <w:t>F. Sandbox Isolation and the LLM-to-Production Boundary</w:t>
      </w:r>
    </w:p>
    <w:p>
      <w:pPr>
        <w:spacing w:after="120" w:before="0" w:line="276" w:lineRule="auto"/>
        <w:ind w:firstLine="259"/>
        <w:jc w:val="both"/>
      </w:pPr>
      <w:r>
        <w:rPr>
          <w:rFonts w:ascii="Times New Roman" w:hAnsi="Times New Roman" w:eastAsia="Times New Roman"/>
          <w:b w:val="0"/>
          <w:i w:val="0"/>
          <w:smallCaps w:val="0"/>
          <w:sz w:val="19"/>
        </w:rPr>
        <w:t>LLM-generated component code (Regenerate, Expand-Scope strategies) is never imported into the parent process. It is written to an isolated workspace and executed by a fixed, project-authored subprocess driver (src/sandbox/_sandbox_driver.py) with an environment built from scratch (no inherited secrets), under a configured wall-clock timeout (120 s) and output-size cap. The driver checks, in order: syntax, import, interface conformance (COMPONENT_NAME / OUTPUT_FIELD identity), training, evaluation, and artifact save. A candidate's trained-artifact bytes are likewise never deserialized in the parent process — only a version's raw bytes are stored by the registry — closing the pickle-deserialization code-execution vector regardless of which corrective agent produced the artifact.</w:t>
      </w:r>
    </w:p>
    <w:p>
      <w:pPr>
        <w:pStyle w:val="Heading2"/>
        <w:spacing w:before="120" w:after="60"/>
      </w:pPr>
      <w:r>
        <w:rPr>
          <w:rFonts w:ascii="Times New Roman" w:hAnsi="Times New Roman" w:eastAsia="Times New Roman"/>
          <w:b w:val="0"/>
          <w:i/>
          <w:smallCaps w:val="0"/>
          <w:sz w:val="19"/>
        </w:rPr>
        <w:t>G. Continuous Orchestration Loop</w:t>
      </w:r>
    </w:p>
    <w:p>
      <w:pPr>
        <w:sectPr>
          <w:type w:val="continuous"/>
          <w:pgSz w:w="12240" w:h="15840"/>
          <w:pgMar w:top="720" w:right="720" w:bottom="720" w:left="720" w:header="720" w:footer="720" w:gutter="0"/>
          <w:docGrid w:linePitch="360"/>
          <w:cols w:num="2" w:space="288"/>
        </w:sectPr>
      </w:pPr>
    </w:p>
    <w:p>
      <w:pPr>
        <w:spacing w:after="40" w:before="160" w:line="276" w:lineRule="auto"/>
        <w:jc w:val="left"/>
      </w:pPr>
      <w:r>
        <w:rPr>
          <w:rFonts w:ascii="Times New Roman" w:hAnsi="Times New Roman" w:eastAsia="Times New Roman"/>
          <w:b/>
          <w:i w:val="0"/>
          <w:smallCaps w:val="0"/>
          <w:sz w:val="19"/>
        </w:rPr>
        <w:t>Algorithm 5 — Continuous Orchestration Loop (src/main.py: ContinuousOrchestrator)</w:t>
      </w:r>
    </w:p>
    <w:tbl>
      <w:tblPr>
        <w:tblW w:type="auto" w:w="0"/>
        <w:jc w:val="center"/>
        <w:tblLayout w:type="fixed"/>
        <w:tblLook w:firstColumn="1" w:firstRow="1" w:lastColumn="0" w:lastRow="0" w:noHBand="0" w:noVBand="1" w:val="04A0"/>
      </w:tblPr>
      <w:tblGrid>
        <w:gridCol w:w="10800"/>
      </w:tblGrid>
      <w:tr>
        <w:tc>
          <w:tcPr>
            <w:tcW w:type="dxa" w:w="10080"/>
            <w:tcBorders>
              <w:top w:val="single" w:sz="6" w:color="404040"/>
              <w:left w:val="single" w:sz="6" w:color="404040"/>
              <w:bottom w:val="single" w:sz="6" w:color="404040"/>
              <w:right w:val="single" w:sz="6" w:color="404040"/>
            </w:tcBorders>
            <w:shd w:val="clear" w:color="auto" w:fill="F4F4F4"/>
          </w:tcPr>
          <w:p>
            <w:pPr>
              <w:spacing w:after="20" w:before="20" w:line="240" w:lineRule="auto"/>
            </w:pPr>
            <w:r>
              <w:rPr>
                <w:rFonts w:ascii="Courier New" w:hAnsi="Courier New" w:eastAsia="Courier New"/>
                <w:b w:val="0"/>
                <w:i w:val="0"/>
                <w:smallCaps w:val="0"/>
                <w:sz w:val="15"/>
              </w:rPr>
              <w:t>Thread A (daemon): for record in TelemetrySource.records():</w:t>
            </w:r>
          </w:p>
          <w:p>
            <w:pPr>
              <w:spacing w:after="20" w:before="20" w:line="240" w:lineRule="auto"/>
            </w:pPr>
            <w:r>
              <w:rPr>
                <w:rFonts w:ascii="Courier New" w:hAnsi="Courier New" w:eastAsia="Courier New"/>
                <w:b w:val="0"/>
                <w:i w:val="0"/>
                <w:smallCaps w:val="0"/>
                <w:sz w:val="15"/>
              </w:rPr>
              <w:t xml:space="preserve">                       D1.append(record)                # never blocks Thread C</w:t>
            </w:r>
          </w:p>
          <w:p>
            <w:pPr>
              <w:spacing w:after="20" w:before="20" w:line="240" w:lineRule="auto"/>
            </w:pPr>
            <w:r>
              <w:rPr>
                <w:rFonts w:ascii="Courier New" w:hAnsi="Courier New" w:eastAsia="Courier New"/>
                <w:b w:val="0"/>
                <w:i w:val="0"/>
                <w:smallCaps w:val="0"/>
                <w:sz w:val="15"/>
              </w:rPr>
              <w:t>Thread B (daemon): for event in DriftSource.events():</w:t>
            </w:r>
          </w:p>
          <w:p>
            <w:pPr>
              <w:spacing w:after="20" w:before="20" w:line="240" w:lineRule="auto"/>
            </w:pPr>
            <w:r>
              <w:rPr>
                <w:rFonts w:ascii="Courier New" w:hAnsi="Courier New" w:eastAsia="Courier New"/>
                <w:b w:val="0"/>
                <w:i w:val="0"/>
                <w:smallCaps w:val="0"/>
                <w:sz w:val="15"/>
              </w:rPr>
              <w:t xml:space="preserve">                       DriftQueue.put(ValidatedEvent(event))</w:t>
            </w:r>
          </w:p>
          <w:p>
            <w:pPr>
              <w:spacing w:after="20" w:before="20" w:line="240" w:lineRule="auto"/>
            </w:pPr>
            <w:r>
              <w:rPr>
                <w:rFonts w:ascii="Courier New" w:hAnsi="Courier New" w:eastAsia="Courier New"/>
                <w:b w:val="0"/>
                <w:i w:val="0"/>
                <w:smallCaps w:val="0"/>
                <w:sz w:val="15"/>
              </w:rPr>
              <w:t>Thread C (foreground): loop:</w:t>
            </w:r>
          </w:p>
          <w:p>
            <w:pPr>
              <w:spacing w:after="20" w:before="20" w:line="240" w:lineRule="auto"/>
            </w:pPr>
            <w:r>
              <w:rPr>
                <w:rFonts w:ascii="Courier New" w:hAnsi="Courier New" w:eastAsia="Courier New"/>
                <w:b w:val="0"/>
                <w:i w:val="0"/>
                <w:smallCaps w:val="0"/>
                <w:sz w:val="15"/>
              </w:rPr>
              <w:t xml:space="preserve">    RunPredictionAndFidelityCycle()          # Modules 5-12</w:t>
            </w:r>
          </w:p>
          <w:p>
            <w:pPr>
              <w:spacing w:after="20" w:before="20" w:line="240" w:lineRule="auto"/>
            </w:pPr>
            <w:r>
              <w:rPr>
                <w:rFonts w:ascii="Courier New" w:hAnsi="Courier New" w:eastAsia="Courier New"/>
                <w:b w:val="0"/>
                <w:i w:val="0"/>
                <w:smallCaps w:val="0"/>
                <w:sz w:val="15"/>
              </w:rPr>
              <w:t xml:space="preserve">    if DriftQueue not empty:</w:t>
            </w:r>
          </w:p>
          <w:p>
            <w:pPr>
              <w:spacing w:after="20" w:before="20" w:line="240" w:lineRule="auto"/>
            </w:pPr>
            <w:r>
              <w:rPr>
                <w:rFonts w:ascii="Courier New" w:hAnsi="Courier New" w:eastAsia="Courier New"/>
                <w:b w:val="0"/>
                <w:i w:val="0"/>
                <w:smallCaps w:val="0"/>
                <w:sz w:val="15"/>
              </w:rPr>
              <w:t xml:space="preserve">        event &lt;- DriftQueue.get()</w:t>
            </w:r>
          </w:p>
          <w:p>
            <w:pPr>
              <w:spacing w:after="20" w:before="20" w:line="240" w:lineRule="auto"/>
            </w:pPr>
            <w:r>
              <w:rPr>
                <w:rFonts w:ascii="Courier New" w:hAnsi="Courier New" w:eastAsia="Courier New"/>
                <w:b w:val="0"/>
                <w:i w:val="0"/>
                <w:smallCaps w:val="0"/>
                <w:sz w:val="15"/>
              </w:rPr>
              <w:t xml:space="preserve">        RunAdaptationCycle(event)             # Algorithm 3</w:t>
            </w:r>
          </w:p>
          <w:p>
            <w:pPr>
              <w:spacing w:after="20" w:before="20" w:line="240" w:lineRule="auto"/>
            </w:pPr>
            <w:r>
              <w:rPr>
                <w:rFonts w:ascii="Courier New" w:hAnsi="Courier New" w:eastAsia="Courier New"/>
                <w:b w:val="0"/>
                <w:i w:val="0"/>
                <w:smallCaps w:val="0"/>
                <w:sz w:val="15"/>
              </w:rPr>
              <w:t xml:space="preserve">    sleep(prediction_interval_seconds)</w:t>
            </w:r>
          </w:p>
        </w:tc>
      </w:tr>
    </w:tbl>
    <w:p>
      <w:pPr>
        <w:spacing w:after="80" w:before="0" w:line="276" w:lineRule="auto"/>
      </w:pPr>
    </w:p>
    <w:p>
      <w:pPr>
        <w:sectPr>
          <w:type w:val="continuous"/>
          <w:pgSz w:w="12240" w:h="15840"/>
          <w:pgMar w:top="720" w:right="720" w:bottom="720" w:left="720" w:header="720" w:footer="720" w:gutter="0"/>
          <w:docGrid w:linePitch="360"/>
          <w:cols w:num="1" w:space="288"/>
        </w:sectPr>
      </w:pPr>
    </w:p>
    <w:p>
      <w:pPr>
        <w:pStyle w:val="Heading1"/>
        <w:spacing w:before="200" w:after="120"/>
        <w:jc w:val="center"/>
      </w:pPr>
      <w:r>
        <w:rPr>
          <w:rFonts w:ascii="Times New Roman" w:hAnsi="Times New Roman" w:eastAsia="Times New Roman"/>
          <w:b/>
          <w:i w:val="0"/>
          <w:smallCaps/>
          <w:sz w:val="21"/>
        </w:rPr>
        <w:t>V. Experimental Setup and Performance Metrics</w:t>
      </w:r>
    </w:p>
    <w:p>
      <w:pPr>
        <w:spacing w:after="120" w:before="0" w:line="276" w:lineRule="auto"/>
        <w:ind w:firstLine="259"/>
        <w:jc w:val="both"/>
      </w:pPr>
      <w:r>
        <w:rPr>
          <w:rFonts w:ascii="Times New Roman" w:hAnsi="Times New Roman" w:eastAsia="Times New Roman"/>
          <w:b w:val="0"/>
          <w:i w:val="0"/>
          <w:smallCaps w:val="0"/>
          <w:sz w:val="19"/>
        </w:rPr>
        <w:t>All figures in this section were produced by executing the real, non-mocked code paths described in Sections II-IV. Only the Anthropic LLM transport is mocked in the automated test suite, since no production API credential was available in the development environment; every such test is explicitly documented as mocked rather than presented as a live call.</w:t>
      </w:r>
    </w:p>
    <w:p>
      <w:pPr>
        <w:pStyle w:val="Heading2"/>
        <w:spacing w:before="120" w:after="60"/>
      </w:pPr>
      <w:r>
        <w:rPr>
          <w:rFonts w:ascii="Times New Roman" w:hAnsi="Times New Roman" w:eastAsia="Times New Roman"/>
          <w:b w:val="0"/>
          <w:i/>
          <w:smallCaps w:val="0"/>
          <w:sz w:val="19"/>
        </w:rPr>
        <w:t>A. Automated Test Suite</w:t>
      </w:r>
    </w:p>
    <w:p>
      <w:pPr>
        <w:spacing w:after="120" w:before="0" w:line="276" w:lineRule="auto"/>
        <w:ind w:firstLine="259"/>
        <w:jc w:val="both"/>
      </w:pPr>
      <w:r>
        <w:rPr>
          <w:rFonts w:ascii="Times New Roman" w:hAnsi="Times New Roman" w:eastAsia="Times New Roman"/>
          <w:b w:val="0"/>
          <w:i w:val="0"/>
          <w:smallCaps w:val="0"/>
          <w:sz w:val="19"/>
        </w:rPr>
        <w:t>The automated suite comprises 487 tests (unit and integration). A clean combined run completed with 486 passed, 1 skipped, 0 failed in 848.9 s wall-clock time. The single skip is a live-API smoke test that self-skips without a real API key. An independent, isolated telemetry pipeline check (ns3_sim/validate_e2e.py) consumed 162 real simulator records with 0 quarantined and 0 out-of-range flags.</w:t>
      </w:r>
    </w:p>
    <w:p>
      <w:pPr>
        <w:pStyle w:val="Heading2"/>
        <w:spacing w:before="120" w:after="60"/>
      </w:pPr>
      <w:r>
        <w:rPr>
          <w:rFonts w:ascii="Times New Roman" w:hAnsi="Times New Roman" w:eastAsia="Times New Roman"/>
          <w:b w:val="0"/>
          <w:i/>
          <w:smallCaps w:val="0"/>
          <w:sz w:val="19"/>
        </w:rPr>
        <w:t>B. Prediction-Component Held-Out Accuracy</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VI</w:t>
        <w:br/>
        <w:t>Held-Out Regression RMSE vs. Naive Mean Baseline</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520"/>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Component</w:t>
            </w:r>
          </w:p>
        </w:tc>
        <w:tc>
          <w:tcPr>
            <w:tcW w:type="dxa" w:w="165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Model RMSE</w:t>
            </w:r>
          </w:p>
        </w:tc>
        <w:tc>
          <w:tcPr>
            <w:tcW w:type="dxa" w:w="1728"/>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Baseline RMSE</w:t>
            </w:r>
          </w:p>
        </w:tc>
        <w:tc>
          <w:tcPr>
            <w:tcW w:type="dxa" w:w="158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Improvement</w:t>
            </w:r>
          </w:p>
        </w:tc>
      </w:tr>
      <w:tr>
        <w:tc>
          <w:tcPr>
            <w:tcW w:type="dxa" w:w="252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Throughput (Mbps)</w:t>
            </w:r>
          </w:p>
        </w:tc>
        <w:tc>
          <w:tcPr>
            <w:tcW w:type="dxa" w:w="165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1.5392</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10.8198</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85.8%</w:t>
            </w:r>
          </w:p>
        </w:tc>
      </w:tr>
      <w:tr>
        <w:tc>
          <w:tcPr>
            <w:tcW w:type="dxa" w:w="252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Latency (ms)</w:t>
            </w:r>
          </w:p>
        </w:tc>
        <w:tc>
          <w:tcPr>
            <w:tcW w:type="dxa" w:w="165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2.2217</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4.4239</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49.8%</w:t>
            </w:r>
          </w:p>
        </w:tc>
      </w:tr>
      <w:tr>
        <w:tc>
          <w:tcPr>
            <w:tcW w:type="dxa" w:w="252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Packet Loss (%)</w:t>
            </w:r>
          </w:p>
        </w:tc>
        <w:tc>
          <w:tcPr>
            <w:tcW w:type="dxa" w:w="165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0.3352</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1.0224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67.2%</w:t>
            </w:r>
          </w:p>
        </w:tc>
      </w:tr>
      <w:tr>
        <w:tc>
          <w:tcPr>
            <w:tcW w:type="dxa" w:w="252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PRB Utilization (%)</w:t>
            </w:r>
          </w:p>
        </w:tc>
        <w:tc>
          <w:tcPr>
            <w:tcW w:type="dxa" w:w="165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8.6235</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19.4206</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55.6%</w:t>
            </w:r>
          </w:p>
        </w:tc>
      </w:tr>
      <w:tr>
        <w:tc>
          <w:tcPr>
            <w:tcW w:type="dxa" w:w="252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Jitter (ms)</w:t>
            </w:r>
          </w:p>
        </w:tc>
        <w:tc>
          <w:tcPr>
            <w:tcW w:type="dxa" w:w="165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1.1743</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1.3164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10.8%</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spacing w:after="120" w:before="0" w:line="276" w:lineRule="auto"/>
        <w:ind w:firstLine="259"/>
        <w:jc w:val="both"/>
      </w:pPr>
      <w:r>
        <w:rPr>
          <w:rFonts w:ascii="Times New Roman" w:hAnsi="Times New Roman" w:eastAsia="Times New Roman"/>
          <w:b w:val="0"/>
          <w:i w:val="0"/>
          <w:smallCaps w:val="0"/>
          <w:sz w:val="19"/>
        </w:rPr>
        <w:t>Two implementation issues were found and corrected during this validation. First, an initial PRB-utilization model showed no improvement over baseline because the mock telemetry generator drew PRB utilization independently of cell demand; correcting the generator to derive it from offered load and UE count produced the 55.6% improvement above. Second, an initial jitter model overfit (training RMSE 0.47 ms vs. held-out RMSE 1.29 ms) under hyperparameters shared with the other four, stronger-signal components; regularizing jitter's own configuration (Table V) resolved this.</w:t>
      </w:r>
    </w:p>
    <w:p>
      <w:pPr>
        <w:pStyle w:val="Heading2"/>
        <w:spacing w:before="120" w:after="60"/>
      </w:pPr>
      <w:r>
        <w:rPr>
          <w:rFonts w:ascii="Times New Roman" w:hAnsi="Times New Roman" w:eastAsia="Times New Roman"/>
          <w:b w:val="0"/>
          <w:i/>
          <w:smallCaps w:val="0"/>
          <w:sz w:val="19"/>
        </w:rPr>
        <w:t>C. Fidelity Scoring on Real Predictions</w:t>
      </w:r>
    </w:p>
    <w:p>
      <w:pPr>
        <w:spacing w:after="120" w:before="0" w:line="276" w:lineRule="auto"/>
        <w:ind w:firstLine="259"/>
        <w:jc w:val="both"/>
      </w:pPr>
      <w:r>
        <w:rPr>
          <w:rFonts w:ascii="Times New Roman" w:hAnsi="Times New Roman" w:eastAsia="Times New Roman"/>
          <w:b w:val="0"/>
          <w:i w:val="0"/>
          <w:smallCaps w:val="0"/>
          <w:sz w:val="19"/>
        </w:rPr>
        <w:t>Feeding real held-out predictions through the fidelity engine yielded, in a representative evaluation batch: throughput 0.8175, packet loss 0.9338, latency 0.7006, PRB utilization 0.6759, jitter 0.9326 (composite FidelityScore, higher is better). MK-MMD evaluated to exactly 0.0 in these batches; the underlying per-bandwidth unbiased MMD² estimates were confirmed genuinely small-negative (−0.06 to −0.11), the expected estimator behavior at n=10 samples per side, not a defect.</w:t>
      </w:r>
    </w:p>
    <w:p>
      <w:pPr>
        <w:pStyle w:val="Heading2"/>
        <w:spacing w:before="120" w:after="60"/>
      </w:pPr>
      <w:r>
        <w:rPr>
          <w:rFonts w:ascii="Times New Roman" w:hAnsi="Times New Roman" w:eastAsia="Times New Roman"/>
          <w:b w:val="0"/>
          <w:i/>
          <w:smallCaps w:val="0"/>
          <w:sz w:val="19"/>
        </w:rPr>
        <w:t>D. Reinforcement-Learning Decision Agent</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VII</w:t>
        <w:br/>
        <w:t>PPO Training Configuration and Executed Budget</w:t>
      </w:r>
    </w:p>
    <w:tbl>
      <w:tblPr>
        <w:tblW w:type="auto" w:w="0"/>
        <w:jc w:val="center"/>
        <w:tblLayout w:type="fixed"/>
        <w:tblLook w:firstColumn="1" w:firstRow="1" w:lastColumn="0" w:lastRow="0" w:noHBand="0" w:noVBand="1" w:val="04A0"/>
      </w:tblPr>
      <w:tblGrid>
        <w:gridCol w:w="5400"/>
        <w:gridCol w:w="5400"/>
      </w:tblGrid>
      <w:tr>
        <w:tc>
          <w:tcPr>
            <w:tcW w:type="dxa" w:w="2880"/>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Hyperparameter</w:t>
            </w:r>
          </w:p>
        </w:tc>
        <w:tc>
          <w:tcPr>
            <w:tcW w:type="dxa" w:w="201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6"/>
              </w:rPr>
              <w:t>Value</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Learning rate</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3.0 × 10⁻⁴</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Rollout steps</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256</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Minibatch size</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64</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Discount γ</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0.99</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GAE λ</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0.95</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Clip range</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0.2</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Parallel environments</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4</w:t>
            </w:r>
          </w:p>
        </w:tc>
      </w:tr>
      <w:tr>
        <w:tc>
          <w:tcPr>
            <w:tcW w:type="dxa" w:w="2880"/>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6"/>
              </w:rPr>
              <w:t>Timesteps executed</w:t>
            </w:r>
          </w:p>
        </w:tc>
        <w:tc>
          <w:tcPr>
            <w:tcW w:type="dxa" w:w="201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6"/>
              </w:rPr>
              <w:t>20,480</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spacing w:after="120" w:before="0" w:line="276" w:lineRule="auto"/>
        <w:ind w:firstLine="259"/>
        <w:jc w:val="both"/>
      </w:pPr>
      <w:r>
        <w:rPr>
          <w:rFonts w:ascii="Times New Roman" w:hAnsi="Times New Roman" w:eastAsia="Times New Roman"/>
          <w:b w:val="0"/>
          <w:i w:val="0"/>
          <w:smallCaps w:val="0"/>
          <w:sz w:val="19"/>
        </w:rPr>
        <w:t>Training ran 15,942 episodes in 412.4 s wall-clock on CPU. Mean episodic reward rose from 0.2536 (first half of training) to 0.3091 (second half), corroborated by explained variance rising from −0.58 to 0.99 and policy entropy falling from −1.09 to −0.17. On held-out scenarios generated from an unseen random seed, the trained policy's mean reward over 60 episodes was −0.0151 at low drift severity — exactly matching an always-Recalibrate fixed baseline and beating always-Regenerate (−0.0746) — and 0.7010 at high severity — exactly matching an always-Regenerate baseline and beating always-Recalibrate (0.1812). The trained policy therefore reproduces the severity-appropriate strategy at both tested extremes without being told which action is correct.</w:t>
      </w:r>
    </w:p>
    <w:p>
      <w:pPr>
        <w:pStyle w:val="Heading2"/>
        <w:spacing w:before="120" w:after="60"/>
      </w:pPr>
      <w:r>
        <w:rPr>
          <w:rFonts w:ascii="Times New Roman" w:hAnsi="Times New Roman" w:eastAsia="Times New Roman"/>
          <w:b w:val="0"/>
          <w:i/>
          <w:smallCaps w:val="0"/>
          <w:sz w:val="19"/>
        </w:rPr>
        <w:t>E. Verification-Gate Integrity</w:t>
      </w:r>
    </w:p>
    <w:p>
      <w:pPr>
        <w:spacing w:after="120" w:before="0" w:line="276" w:lineRule="auto"/>
        <w:ind w:firstLine="259"/>
        <w:jc w:val="both"/>
      </w:pPr>
      <w:r>
        <w:rPr>
          <w:rFonts w:ascii="Times New Roman" w:hAnsi="Times New Roman" w:eastAsia="Times New Roman"/>
          <w:b w:val="0"/>
          <w:i w:val="0"/>
          <w:smallCaps w:val="0"/>
          <w:sz w:val="19"/>
        </w:rPr>
        <w:t>A dedicated test paired a real recalibration candidate (fidelity_before = 0.9800, fidelity_after = 0.9987) with a fixed adversarial LLM instructed to argue for REJECT regardless of the numbers. The deterministic gate ACCEPTed and genuinely promoted the candidate; the adversarial text was recorded verbatim in the audit explanation but had zero effect on the registry state, confirming the structural separation between the deterministic decision and the LLM reasoning layer described in Algorithm 4.</w:t>
      </w:r>
    </w:p>
    <w:p>
      <w:pPr>
        <w:pStyle w:val="Heading2"/>
        <w:spacing w:before="120" w:after="60"/>
      </w:pPr>
      <w:r>
        <w:rPr>
          <w:rFonts w:ascii="Times New Roman" w:hAnsi="Times New Roman" w:eastAsia="Times New Roman"/>
          <w:b w:val="0"/>
          <w:i/>
          <w:smallCaps w:val="0"/>
          <w:sz w:val="19"/>
        </w:rPr>
        <w:t>F. Full Adaptation Cycles — Mock and Real Telemetry</w:t>
      </w:r>
    </w:p>
    <w:p>
      <w:pPr>
        <w:sectPr>
          <w:type w:val="continuous"/>
          <w:pgSz w:w="12240" w:h="15840"/>
          <w:pgMar w:top="720" w:right="720" w:bottom="720" w:left="720" w:header="720" w:footer="720" w:gutter="0"/>
          <w:docGrid w:linePitch="360"/>
          <w:cols w:num="2" w:space="288"/>
        </w:sectPr>
      </w:pPr>
    </w:p>
    <w:p>
      <w:pPr>
        <w:spacing w:after="60" w:before="120" w:line="276" w:lineRule="auto"/>
        <w:jc w:val="center"/>
      </w:pPr>
      <w:r>
        <w:rPr>
          <w:rFonts w:ascii="Times New Roman" w:hAnsi="Times New Roman" w:eastAsia="Times New Roman"/>
          <w:b w:val="0"/>
          <w:i w:val="0"/>
          <w:smallCaps/>
          <w:sz w:val="18"/>
        </w:rPr>
        <w:t>TABLE VIII</w:t>
        <w:br/>
        <w:t>End-to-End Adaptation Cycle Outcomes</w:t>
      </w:r>
    </w:p>
    <w:tbl>
      <w:tblPr>
        <w:tblW w:type="auto" w:w="0"/>
        <w:jc w:val="center"/>
        <w:tblLayout w:type="fixed"/>
        <w:tblLook w:firstColumn="1" w:firstRow="1" w:lastColumn="0" w:lastRow="0" w:noHBand="0" w:noVBand="1" w:val="04A0"/>
      </w:tblPr>
      <w:tblGrid>
        <w:gridCol w:w="1800"/>
        <w:gridCol w:w="1800"/>
        <w:gridCol w:w="1800"/>
        <w:gridCol w:w="1800"/>
        <w:gridCol w:w="1800"/>
        <w:gridCol w:w="1800"/>
      </w:tblGrid>
      <w:tr>
        <w:tc>
          <w:tcPr>
            <w:tcW w:type="dxa" w:w="129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4"/>
              </w:rPr>
              <w:t>Run</w:t>
            </w:r>
          </w:p>
        </w:tc>
        <w:tc>
          <w:tcPr>
            <w:tcW w:type="dxa" w:w="1440"/>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4"/>
              </w:rPr>
              <w:t>Telemetry Source</w:t>
            </w:r>
          </w:p>
        </w:tc>
        <w:tc>
          <w:tcPr>
            <w:tcW w:type="dxa" w:w="1512"/>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4"/>
              </w:rPr>
              <w:t>Component / Severity</w:t>
            </w:r>
          </w:p>
        </w:tc>
        <w:tc>
          <w:tcPr>
            <w:tcW w:type="dxa" w:w="122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4"/>
              </w:rPr>
              <w:t>Action</w:t>
            </w:r>
          </w:p>
        </w:tc>
        <w:tc>
          <w:tcPr>
            <w:tcW w:type="dxa" w:w="1584"/>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4"/>
              </w:rPr>
              <w:t>Fidelity Before → After</w:t>
            </w:r>
          </w:p>
        </w:tc>
        <w:tc>
          <w:tcPr>
            <w:tcW w:type="dxa" w:w="936"/>
            <w:tcBorders>
              <w:top w:val="single" w:sz="4" w:color="000000"/>
              <w:left w:val="single" w:sz="4" w:color="000000"/>
              <w:bottom w:val="single" w:sz="4" w:color="000000"/>
              <w:right w:val="single" w:sz="4" w:color="000000"/>
            </w:tcBorders>
            <w:shd w:val="clear" w:color="auto" w:fill="D9D9D9"/>
          </w:tcPr>
          <w:p>
            <w:pPr>
              <w:jc w:val="center"/>
            </w:pPr>
            <w:r>
              <w:rPr>
                <w:rFonts w:ascii="Times New Roman" w:hAnsi="Times New Roman" w:eastAsia="Times New Roman"/>
                <w:b/>
                <w:i w:val="0"/>
                <w:smallCaps w:val="0"/>
                <w:sz w:val="14"/>
              </w:rPr>
              <w:t>Verdict</w:t>
            </w:r>
          </w:p>
        </w:tc>
      </w:tr>
      <w:tr>
        <w:tc>
          <w:tcPr>
            <w:tcW w:type="dxa" w:w="129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4"/>
              </w:rPr>
              <w:t>Mock demo</w:t>
            </w:r>
          </w:p>
        </w:tc>
        <w:tc>
          <w:tcPr>
            <w:tcW w:type="dxa" w:w="1440"/>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MOCK</w:t>
            </w:r>
          </w:p>
        </w:tc>
        <w:tc>
          <w:tcPr>
            <w:tcW w:type="dxa" w:w="151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jitter / 0.1846</w:t>
            </w:r>
          </w:p>
        </w:tc>
        <w:tc>
          <w:tcPr>
            <w:tcW w:type="dxa" w:w="122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recalibrate</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1.8686 → 0.9853</w:t>
            </w:r>
          </w:p>
        </w:tc>
        <w:tc>
          <w:tcPr>
            <w:tcW w:type="dxa" w:w="9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REJECT</w:t>
            </w:r>
          </w:p>
        </w:tc>
      </w:tr>
      <w:tr>
        <w:tc>
          <w:tcPr>
            <w:tcW w:type="dxa" w:w="1296"/>
            <w:tcBorders>
              <w:top w:val="single" w:sz="4" w:color="000000"/>
              <w:left w:val="single" w:sz="4" w:color="000000"/>
              <w:bottom w:val="single" w:sz="4" w:color="000000"/>
              <w:right w:val="single" w:sz="4" w:color="000000"/>
            </w:tcBorders>
          </w:tcPr>
          <w:p>
            <w:pPr>
              <w:jc w:val="left"/>
            </w:pPr>
            <w:r>
              <w:rPr>
                <w:rFonts w:ascii="Times New Roman" w:hAnsi="Times New Roman" w:eastAsia="Times New Roman"/>
                <w:b w:val="0"/>
                <w:i w:val="0"/>
                <w:smallCaps w:val="0"/>
                <w:sz w:val="14"/>
              </w:rPr>
              <w:t>Real ns-3 demo</w:t>
            </w:r>
          </w:p>
        </w:tc>
        <w:tc>
          <w:tcPr>
            <w:tcW w:type="dxa" w:w="1440"/>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NS3_5G_LENA</w:t>
            </w:r>
          </w:p>
        </w:tc>
        <w:tc>
          <w:tcPr>
            <w:tcW w:type="dxa" w:w="1512"/>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jitter / 0.1846</w:t>
            </w:r>
          </w:p>
        </w:tc>
        <w:tc>
          <w:tcPr>
            <w:tcW w:type="dxa" w:w="122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recalibrate</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3.7487 → 2.5799</w:t>
            </w:r>
          </w:p>
        </w:tc>
        <w:tc>
          <w:tcPr>
            <w:tcW w:type="dxa" w:w="936"/>
            <w:tcBorders>
              <w:top w:val="single" w:sz="4" w:color="000000"/>
              <w:left w:val="single" w:sz="4" w:color="000000"/>
              <w:bottom w:val="single" w:sz="4" w:color="000000"/>
              <w:right w:val="single" w:sz="4" w:color="000000"/>
            </w:tcBorders>
          </w:tcPr>
          <w:p>
            <w:pPr>
              <w:jc w:val="center"/>
            </w:pPr>
            <w:r>
              <w:rPr>
                <w:rFonts w:ascii="Times New Roman" w:hAnsi="Times New Roman" w:eastAsia="Times New Roman"/>
                <w:b w:val="0"/>
                <w:i w:val="0"/>
                <w:smallCaps w:val="0"/>
                <w:sz w:val="14"/>
              </w:rPr>
              <w:t>REJECT</w:t>
            </w:r>
          </w:p>
        </w:tc>
      </w:tr>
    </w:tbl>
    <w:p>
      <w:pPr>
        <w:spacing w:after="160" w:before="0" w:line="276" w:lineRule="auto"/>
      </w:pPr>
    </w:p>
    <w:p>
      <w:pPr>
        <w:sectPr>
          <w:type w:val="continuous"/>
          <w:pgSz w:w="12240" w:h="15840"/>
          <w:pgMar w:top="720" w:right="720" w:bottom="720" w:left="720" w:header="720" w:footer="720" w:gutter="0"/>
          <w:docGrid w:linePitch="360"/>
          <w:cols w:num="1" w:space="288"/>
        </w:sectPr>
      </w:pPr>
    </w:p>
    <w:p>
      <w:pPr>
        <w:spacing w:after="120" w:before="0" w:line="276" w:lineRule="auto"/>
        <w:ind w:firstLine="259"/>
        <w:jc w:val="both"/>
      </w:pPr>
      <w:r>
        <w:rPr>
          <w:rFonts w:ascii="Times New Roman" w:hAnsi="Times New Roman" w:eastAsia="Times New Roman"/>
          <w:b w:val="0"/>
          <w:i w:val="0"/>
          <w:smallCaps w:val="0"/>
          <w:sz w:val="19"/>
        </w:rPr>
        <w:t>In the real-simulator run, 460 genuine NS3_5G_LENA-sourced records were accumulated (0 quarantined) before the drift event; the candidate was trained on 352 real rows. Both cycles produced a REJECT verdict, which is treated as an equally valid demonstration of a complete cycle as an ACCEPT: the gate correctly protected production from a genuinely worse candidate in both cases. A separate sampler thread confirmed telemetry ingestion never paused during either adaptation cycle: the synchronization counter grew from 560 to 680 records within the mock run's 2.438 s adaptation window, and from 60 to 100 records within the real-simulator run's 2.633 s window.</w:t>
      </w:r>
    </w:p>
    <w:p>
      <w:pPr>
        <w:pStyle w:val="Heading2"/>
        <w:spacing w:before="120" w:after="60"/>
      </w:pPr>
      <w:r>
        <w:rPr>
          <w:rFonts w:ascii="Times New Roman" w:hAnsi="Times New Roman" w:eastAsia="Times New Roman"/>
          <w:b w:val="0"/>
          <w:i/>
          <w:smallCaps w:val="0"/>
          <w:sz w:val="19"/>
        </w:rPr>
        <w:t>G. Ground-Truth Simulator Sanity Check</w:t>
      </w:r>
    </w:p>
    <w:p>
      <w:pPr>
        <w:spacing w:after="120" w:before="0" w:line="276" w:lineRule="auto"/>
        <w:ind w:firstLine="259"/>
        <w:jc w:val="both"/>
      </w:pPr>
      <w:r>
        <w:rPr>
          <w:rFonts w:ascii="Times New Roman" w:hAnsi="Times New Roman" w:eastAsia="Times New Roman"/>
          <w:b w:val="0"/>
          <w:i w:val="0"/>
          <w:smallCaps w:val="0"/>
          <w:sz w:val="19"/>
        </w:rPr>
        <w:t>Independent of the DT pipeline, the stock 5G-LENA cttc-nr-demo example was executed directly: for one representative flow, an offered load of 10.24 Mbps yielded a measured throughput of 10.237 Mbps, mean delay 0.276 ms, mean jitter 0.030 ms, with 5,998 of 6,000 packets received — confirming the simulator produces physically coherent 5G-NR behavior.</w:t>
      </w:r>
    </w:p>
    <w:p>
      <w:pPr>
        <w:pStyle w:val="Heading2"/>
        <w:spacing w:before="120" w:after="60"/>
      </w:pPr>
      <w:r>
        <w:rPr>
          <w:rFonts w:ascii="Times New Roman" w:hAnsi="Times New Roman" w:eastAsia="Times New Roman"/>
          <w:b w:val="0"/>
          <w:i/>
          <w:smallCaps w:val="0"/>
          <w:sz w:val="19"/>
        </w:rPr>
        <w:t>H. Limitations</w:t>
      </w:r>
    </w:p>
    <w:p>
      <w:pPr>
        <w:spacing w:after="120" w:before="0" w:line="276" w:lineRule="auto"/>
        <w:ind w:firstLine="259"/>
        <w:jc w:val="both"/>
      </w:pPr>
      <w:r>
        <w:rPr>
          <w:rFonts w:ascii="Times New Roman" w:hAnsi="Times New Roman" w:eastAsia="Times New Roman"/>
          <w:b w:val="0"/>
          <w:i w:val="0"/>
          <w:smallCaps w:val="0"/>
          <w:sz w:val="19"/>
        </w:rPr>
        <w:t>No production Anthropic API credential was available during development; every LLM-dependent code path (Regenerate, Expand-Scope, optional explanation/report generation) was validated against a real, unmocked pipeline fed by a hand-authored stand-in for LLM output rather than a genuine live response, and this is reported honestly rather than as live-LLM validation. The reinforcement-learning training environment's simulated adaptation-outcome dynamics are a documented, configuration-driven stand-in for the real corrective agents' outcomes, needed because those agents did not yet exist when PPO training began.</w:t>
      </w:r>
    </w:p>
    <w:p>
      <w:pPr>
        <w:pStyle w:val="Heading1"/>
        <w:spacing w:before="200" w:after="120"/>
        <w:jc w:val="center"/>
      </w:pPr>
      <w:r>
        <w:rPr>
          <w:rFonts w:ascii="Times New Roman" w:hAnsi="Times New Roman" w:eastAsia="Times New Roman"/>
          <w:b/>
          <w:i w:val="0"/>
          <w:smallCaps/>
          <w:sz w:val="21"/>
        </w:rPr>
        <w:t>VI. Conclusion and Future Enhancements</w:t>
      </w:r>
    </w:p>
    <w:p>
      <w:pPr>
        <w:spacing w:after="120" w:before="0" w:line="276" w:lineRule="auto"/>
        <w:ind w:firstLine="259"/>
        <w:jc w:val="both"/>
      </w:pPr>
      <w:r>
        <w:rPr>
          <w:rFonts w:ascii="Times New Roman" w:hAnsi="Times New Roman" w:eastAsia="Times New Roman"/>
          <w:b w:val="0"/>
          <w:i w:val="0"/>
          <w:smallCaps w:val="0"/>
          <w:sz w:val="19"/>
        </w:rPr>
        <w:t>This paper presented a Digital Twin for a simulated 5G radio access network that was built, executed, and measured end to end: real ns-3/5G-LENA telemetry flows continuously into a persistent state store; five dependency-ordered models predict throughput, latency, packet loss, PRB utilization, and jitter; a deterministic engine scores predictive fidelity every cycle; a trained reinforcement-learning policy selects a corrective strategy under drift; candidates are isolated in a sandbox; and a deterministic, LLM-proof gate decides promotion. Held-out evaluation showed genuine learning in every prediction component, the trained decision policy reproduced the theoretically correct strategy at both severity extremes tested, and two complete real adaptation cycles — one on mock telemetry, one on genuine ns-3/5G-LENA telemetry — confirmed the pipeline operates without interrupting live telemetry ingestion.</w:t>
      </w:r>
    </w:p>
    <w:p>
      <w:pPr>
        <w:spacing w:after="120" w:before="0" w:line="276" w:lineRule="auto"/>
        <w:ind w:firstLine="259"/>
        <w:jc w:val="both"/>
      </w:pPr>
      <w:r>
        <w:rPr>
          <w:rFonts w:ascii="Times New Roman" w:hAnsi="Times New Roman" w:eastAsia="Times New Roman"/>
          <w:b w:val="0"/>
          <w:i w:val="0"/>
          <w:smallCaps w:val="0"/>
          <w:sz w:val="19"/>
        </w:rPr>
        <w:t>Future enhancements identified directly from the current implementation's documented limitations include: validating the Regenerate and Expand-Scope corrective agents against a genuine, production Anthropic API credential rather than a hand-authored stand-in; bootstrapping reinforcement-learning training from real corrective-agent execution outcomes rather than the current configured simulated-dynamics environment; implementing the documented queue/coalesce/defer policy for concurrent drift on multiple components simultaneously; and evaluating the architecture on a multi-cell, higher-density ns-3/5G-LENA scenario to assess how prediction fidelity scales beyond the single-cell, six-UE configuration validated in this paper.</w:t>
      </w:r>
    </w:p>
    <w:p>
      <w:pPr>
        <w:spacing w:after="120" w:before="200" w:line="276" w:lineRule="auto"/>
        <w:jc w:val="both"/>
      </w:pPr>
      <w:r>
        <w:rPr>
          <w:rFonts w:ascii="Times New Roman" w:hAnsi="Times New Roman" w:eastAsia="Times New Roman"/>
          <w:b w:val="0"/>
          <w:i/>
          <w:smallCaps w:val="0"/>
          <w:sz w:val="16"/>
        </w:rPr>
        <w:t>All architectural claims, formulas, parameters, and results in this paper were verified directly against this project's source code, configuration files, and executed test/validation runs at the time of writing; no results were projected, estimated, or fabricated.</w:t>
      </w:r>
    </w:p>
    <w:sectPr w:rsidR="00FC693F" w:rsidRPr="0006063C" w:rsidSect="00034616">
      <w:type w:val="continuous"/>
      <w:pgSz w:w="12240" w:h="15840"/>
      <w:pgMar w:top="720" w:right="720" w:bottom="720" w:left="720" w:header="720" w:footer="720" w:gutter="0"/>
      <w:docGrid w:linePitch="360"/>
      <w:cols w:num="2" w:spa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eastAsia="Times New Roman"/>
        <w:b w:val="0"/>
        <w:i w:val="0"/>
        <w:smallCaps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