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8"/>
        </w:rPr>
        <w:t>Error-Controlled Adaptive-Rank Linear Attention</w:t>
      </w:r>
    </w:p>
    <w:p>
      <w:pPr>
        <w:spacing w:after="140"/>
        <w:jc w:val="center"/>
      </w:pPr>
      <w:r>
        <w:rPr>
          <w:b w:val="0"/>
          <w:i/>
        </w:rPr>
        <w:t>Compressed Mathematical Hypothesis and Research Framework</w:t>
      </w:r>
    </w:p>
    <w:p>
      <w:pPr>
        <w:pStyle w:val="Heading1"/>
      </w:pPr>
      <w:r>
        <w:t>1. Research Question</w:t>
      </w:r>
    </w:p>
    <w:p>
      <w:pPr>
        <w:spacing w:after="60"/>
      </w:pPr>
      <w:r>
        <w:rPr>
          <w:b w:val="0"/>
          <w:i w:val="0"/>
        </w:rPr>
        <w:t>Can the quadratic interaction in softmax attention be replaced by a linear-complexity kernel formulation while guaranteeing a prescribed approximation tolerance, with the required feature dimension selected according to the input?</w:t>
      </w:r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S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softmax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Heading1"/>
      </w:pPr>
      <w:r>
        <w:t>2. Central Hypothesis</w:t>
      </w:r>
    </w:p>
    <w:p>
      <w:pPr>
        <w:spacing w:after="60"/>
      </w:pPr>
      <w:r>
        <w:rPr>
          <w:b/>
          <w:i w:val="0"/>
        </w:rPr>
        <w:t>H1 — Error-Controlled Adaptive-Rank Hypothesis</w:t>
      </w:r>
    </w:p>
    <w:p>
      <w:pPr>
        <w:spacing w:after="60"/>
      </w:pPr>
      <w:r>
        <w:rPr>
          <w:b w:val="0"/>
          <w:i w:val="0"/>
        </w:rPr>
        <w:t xml:space="preserve">For a prescribed output tolerance </w:t>
      </w:r>
      <m:oMath>
        <m:r>
          <w:rPr>
            <w:rFonts w:ascii="Cambria Math" w:hAnsi="Cambria Math"/>
          </w:rPr>
          <m:t xml:space="preserve">δ</m:t>
        </m:r>
      </m:oMath>
      <w:r>
        <w:rPr>
          <w:b w:val="0"/>
          <w:i w:val="0"/>
        </w:rPr>
        <w:t xml:space="preserve">, the minimum feature dimension required to approximate normalized softmax attention is input-dependent. Therefore, an input-conditioned feature rank can achieve the required quality with less feature computation than a conservative globally fixed rank on inputs that admit a lower approximation dimension.</w:t>
      </w:r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∗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δ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min</m:t>
          </m:r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ℛ</m:t>
              </m:r>
              <m:r>
                <w:rPr>
                  <w:rFonts w:ascii="Cambria Math" w:hAnsi="Cambria Math"/>
                </w:rPr>
                <m:t xml:space="preserve">:</m:t>
              </m:r>
              <m:r>
                <w:rPr>
                  <w:rFonts w:ascii="Cambria Math" w:hAnsi="Cambria Math"/>
                </w:rPr>
                <m:t xml:space="preserve">B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δ</m:t>
              </m:r>
            </m:e>
          </m:d>
        </m:oMath>
      </m:oMathPara>
    </w:p>
    <w:p>
      <w:pPr>
        <w:spacing w:after="60"/>
      </w:pPr>
      <m:oMath>
        <m:r>
          <w:rPr>
            <w:rFonts w:ascii="Cambria Math" w:hAnsi="Cambria Math"/>
          </w:rPr>
          <m:t xml:space="preserve">B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r</m:t>
            </m:r>
          </m:e>
        </m:d>
      </m:oMath>
      <w:r>
        <w:rPr>
          <w:b w:val="0"/>
          <w:i w:val="0"/>
        </w:rPr>
        <w:t xml:space="preserve"> denotes a valid upper bound on the attention-output error produced by an </w:t>
      </w:r>
      <m:oMath>
        <m:r>
          <w:rPr>
            <w:rFonts w:ascii="Cambria Math" w:hAnsi="Cambria Math"/>
          </w:rPr>
          <m:t xml:space="preserve">r</m:t>
        </m:r>
      </m:oMath>
      <w:r>
        <w:rPr>
          <w:b w:val="0"/>
          <w:i w:val="0"/>
        </w:rPr>
        <w:t xml:space="preserve">-dimensional positive-kernel approximation.</w:t>
      </w:r>
    </w:p>
    <w:p>
      <w:pPr>
        <w:pStyle w:val="Heading1"/>
      </w:pPr>
      <w:r>
        <w:t>3. Exact Softmax Attention</w:t>
      </w:r>
    </w:p>
    <w:p>
      <w:pPr>
        <w:spacing w:after="60"/>
      </w:pPr>
      <w:r>
        <w:rPr>
          <w:b w:val="0"/>
          <w:i w:val="0"/>
        </w:rPr>
        <w:t xml:space="preserve">For </w:t>
      </w:r>
      <m:oMath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sup>
        </m:sSup>
      </m:oMath>
      <w:r>
        <w:rPr>
          <w:b w:val="0"/>
          <w:i w:val="0"/>
        </w:rPr>
        <w:t xml:space="preserve">, </w:t>
      </w:r>
      <m:oMath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sup>
        </m:sSup>
      </m:oMath>
      <w:r>
        <w:rPr>
          <w:b w:val="0"/>
          <w:i w:val="0"/>
        </w:rPr>
        <w:t xml:space="preserve">, and </w:t>
      </w:r>
      <m:oMath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</m:sub>
            </m:sSub>
          </m:sup>
        </m:sSup>
      </m:oMath>
      <w:r>
        <w:rPr>
          <w:b w:val="0"/>
          <w:i w:val="0"/>
        </w:rPr>
        <w:t xml:space="preserve">, define:</w:t>
      </w:r>
    </w:p>
    <w:p>
      <w:pPr>
        <w:spacing w:after="40"/>
        <w:jc w:val="center"/>
      </w:pPr>
      <m:oMathPara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Q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</m:rad>
            </m:den>
          </m:f>
        </m:oMath>
      </m:oMathPara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S</m:t>
              </m:r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softmax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row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</m:e>
          </m:d>
        </m:oMath>
      </m:oMathPara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S</m:t>
              </m:r>
            </m:sup>
          </m:sSup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S</m:t>
              </m:r>
            </m:sup>
          </m:sSup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spacing w:after="60"/>
      </w:pPr>
      <w:r>
        <w:rPr>
          <w:b w:val="0"/>
          <w:i w:val="0"/>
        </w:rPr>
        <w:t>Equivalently, for query i:</w:t>
      </w:r>
    </w:p>
    <w:p>
      <w:pPr>
        <w:spacing w:after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κ</m:t>
              </m:r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  <m:r>
            <w:rPr>
              <w:rFonts w:ascii="Cambria Math" w:hAnsi="Cambria Math"/>
            </w:rPr>
            <m:t xml:space="preserve">=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exp</m:t>
              </m:r>
            </m:fName>
            <m:e>
              <m:d>
                <m:dPr>
                  <m:begChr m:val="("/>
                  <m:endChr m:val=")"/>
                </m:dPr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p>
                      </m:s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</m:e>
          </m:func>
        </m:oMath>
      </m:oMathPara>
    </w:p>
    <w:p>
      <w:pPr>
        <w:spacing w:after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</m:e>
          </m:nary>
        </m:oMath>
      </m:oMathPara>
    </w:p>
    <w:p>
      <w:pPr>
        <w:spacing w:after="40"/>
        <w:jc w:val="center"/>
      </w:pPr>
      <m:oMathPara>
        <m:oMath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S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</m:oMath>
      </m:oMathPara>
    </w:p>
    <w:p>
      <w:pPr>
        <w:spacing w:after="60"/>
      </w:pPr>
      <w:r>
        <w:rPr>
          <w:b w:val="0"/>
          <w:i w:val="0"/>
        </w:rPr>
        <w:t xml:space="preserve">The dense score/attention matrix contains </w:t>
      </w:r>
      <m:oMath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b w:val="0"/>
          <w:i w:val="0"/>
        </w:rPr>
        <w:t xml:space="preserve"> pairwise interactions, giving </w:t>
      </w:r>
      <m:oMath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</m:sub>
            </m:sSub>
          </m:e>
        </m:d>
      </m:oMath>
      <w:r>
        <w:rPr>
          <w:b w:val="0"/>
          <w:i w:val="0"/>
        </w:rPr>
        <w:t xml:space="preserve"> arithmetic for the direct formulation and </w:t>
      </w:r>
      <m:oMath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b w:val="0"/>
          <w:i w:val="0"/>
        </w:rPr>
        <w:t xml:space="preserve"> interaction storage.</w:t>
      </w:r>
    </w:p>
    <w:p>
      <w:pPr>
        <w:pStyle w:val="Heading1"/>
      </w:pPr>
      <w:r>
        <w:t>4. Kernelized Linear Attention</w:t>
      </w:r>
    </w:p>
    <w:p>
      <w:pPr>
        <w:spacing w:after="60"/>
      </w:pPr>
      <w:r>
        <w:rPr>
          <w:b w:val="0"/>
          <w:i w:val="0"/>
        </w:rPr>
        <w:t xml:space="preserve">Let </w:t>
      </w:r>
      <m:oMath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: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</m:e>
            </m:d>
          </m:sup>
        </m:sSup>
        <m:r>
          <w:rPr>
            <w:rFonts w:ascii="Cambria Math" w:hAnsi="Cambria Math"/>
          </w:rPr>
          <m:t xml:space="preserve">→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r</m:t>
            </m:r>
          </m:sup>
        </m:sSup>
      </m:oMath>
      <w:r>
        <w:rPr>
          <w:b w:val="0"/>
          <w:i w:val="0"/>
        </w:rPr>
        <w:t xml:space="preserve"> be a non-negative feature map and define:</w:t>
      </w:r>
    </w:p>
    <w:p>
      <w:pPr>
        <w:spacing w:after="4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spacing w:after="4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κ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</m:e>
          </m:nary>
        </m:oMath>
      </m:oMathPara>
    </w:p>
    <w:p>
      <w:pPr>
        <w:spacing w:after="40"/>
        <w:jc w:val="center"/>
      </w:pPr>
      <m:oMathPara>
        <m:oMath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L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κ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</m:oMath>
      </m:oMathPara>
    </w:p>
    <w:p>
      <w:pPr>
        <w:spacing w:after="60"/>
      </w:pPr>
      <w:r>
        <w:rPr>
          <w:b w:val="0"/>
          <w:i w:val="0"/>
        </w:rPr>
        <w:t xml:space="preserve">Let </w:t>
      </w:r>
      <m:oMath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r</m:t>
            </m:r>
          </m:sup>
        </m:sSup>
      </m:oMath>
      <w:r>
        <w:rPr>
          <w:b w:val="0"/>
          <w:i w:val="0"/>
        </w:rPr>
        <w:t xml:space="preserve"> and </w:t>
      </w:r>
      <m:oMath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r</m:t>
            </m:r>
          </m:sup>
        </m:sSup>
      </m:oMath>
      <w:r>
        <w:rPr>
          <w:b w:val="0"/>
          <w:i w:val="0"/>
        </w:rPr>
        <w:t xml:space="preserve"> contain the feature vectors. Then:</w:t>
      </w:r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L</m:t>
              </m:r>
            </m:sup>
          </m:sSup>
          <m:r>
            <w:rPr>
              <w:rFonts w:ascii="Cambria Math" w:hAnsi="Cambria Math"/>
            </w:rPr>
            <m:t xml:space="preserve">=</m:t>
          </m:r>
          <m:sSup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 xml:space="preserve">−1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V</m:t>
              </m:r>
            </m:e>
          </m:d>
        </m:oMath>
      </m:oMathPara>
    </w:p>
    <w:p>
      <w:pPr>
        <w:spacing w:after="40"/>
        <w:jc w:val="center"/>
      </w:pPr>
      <m:oMathPara>
        <m:oMath>
          <m:acc>
            <m:accPr>
              <m:chr m:val="̂"/>
            </m:accPr>
            <m:e>
              <m:r>
                <w:rPr>
                  <w:rFonts w:ascii="Cambria Math" w:hAnsi="Cambria Math"/>
                </w:rPr>
                <m:t xml:space="preserve">D</m:t>
              </m:r>
            </m:e>
          </m:acc>
          <m: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diag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</m:oMath>
      </m:oMathPara>
    </w:p>
    <w:p>
      <w:pPr>
        <w:spacing w:after="60"/>
      </w:pPr>
      <w:r>
        <w:rPr>
          <w:b w:val="0"/>
          <w:i w:val="0"/>
        </w:rPr>
        <w:t>The equality follows from associativity:</w:t>
      </w:r>
    </w:p>
    <w:p>
      <w:pPr>
        <w:spacing w:after="40"/>
        <w:jc w:val="center"/>
      </w:pPr>
      <m:oMathPara>
        <m:oMath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V</m:t>
              </m:r>
            </m:e>
          </m:d>
        </m:oMath>
      </m:oMathPara>
    </w:p>
    <w:p>
      <w:pPr>
        <w:spacing w:after="60"/>
      </w:pPr>
      <w:r>
        <w:rPr>
          <w:b w:val="0"/>
          <w:i w:val="0"/>
        </w:rPr>
        <w:t xml:space="preserve">Thus the </w:t>
      </w:r>
      <m:oMath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N</m:t>
        </m:r>
      </m:oMath>
      <w:r>
        <w:rPr>
          <w:b w:val="0"/>
          <w:i w:val="0"/>
        </w:rPr>
        <w:t xml:space="preserve"> matrix need not be formed. The dominant matrix products cost </w:t>
      </w:r>
      <m:oMath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</m:sub>
            </m:sSub>
          </m:e>
        </m:d>
      </m:oMath>
      <w:r>
        <w:rPr>
          <w:b w:val="0"/>
          <w:i w:val="0"/>
        </w:rPr>
        <w:t xml:space="preserve">, while feature construction contributes </w:t>
      </w:r>
      <m:oMath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</m:oMath>
      <w:r>
        <w:rPr>
          <w:b w:val="0"/>
          <w:i w:val="0"/>
        </w:rPr>
        <w:t xml:space="preserve">. The kernel state </w:t>
      </w:r>
      <m:oMath>
        <m:sSup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V</m:t>
        </m:r>
      </m:oMath>
      <w:r>
        <w:rPr>
          <w:b w:val="0"/>
          <w:i w:val="0"/>
        </w:rPr>
        <w:t xml:space="preserve"> has only </w:t>
      </w:r>
      <m:oMath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</m:oMath>
      <w:r>
        <w:rPr>
          <w:b w:val="0"/>
          <w:i w:val="0"/>
        </w:rPr>
        <w:t xml:space="preserve"> entries per head.</w:t>
      </w:r>
    </w:p>
    <w:p>
      <w:pPr>
        <w:pStyle w:val="Heading1"/>
      </w:pPr>
      <w:r>
        <w:t>5. Connection to Softmax: Error Theorem</w:t>
      </w:r>
    </w:p>
    <w:p>
      <w:pPr>
        <w:spacing w:after="60"/>
      </w:pPr>
      <w:r>
        <w:rPr>
          <w:b w:val="0"/>
          <w:i w:val="0"/>
        </w:rPr>
        <w:t>The linear formulation is not automatically equivalent to softmax. The approximation must therefore be controlled. Let:</w:t>
      </w:r>
    </w:p>
    <w:p>
      <w:pPr>
        <w:spacing w:after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κ</m:t>
              </m:r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  <m:r>
            <w:rPr>
              <w:rFonts w:ascii="Cambria Math" w:hAnsi="Cambria Math"/>
            </w:rPr>
            <m:t xml:space="preserve">=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exp</m:t>
              </m:r>
            </m:fName>
            <m:e>
              <m:d>
                <m:dPr>
                  <m:begChr m:val="("/>
                  <m:endChr m:val=")"/>
                </m:dPr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p>
                      </m:s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</m:e>
          </m:func>
        </m:oMath>
      </m:oMathPara>
    </w:p>
    <w:p>
      <w:pPr>
        <w:spacing w:after="4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d>
        </m:oMath>
      </m:oMathPara>
    </w:p>
    <w:p>
      <w:pPr>
        <w:spacing w:after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</m:oMath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</m:sub>
            <m:sup/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κ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</m:oMath>
      </m:oMathPara>
    </w:p>
    <w:p>
      <w:pPr>
        <w:spacing w:after="40"/>
        <w:jc w:val="center"/>
      </w:pPr>
      <m:oMathPara>
        <m:oMath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S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</m:oMath>
        <m:oMath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L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</m:oMath>
      </m:oMathPara>
    </w:p>
    <w:p>
      <w:pPr>
        <w:spacing w:after="60"/>
      </w:pPr>
      <w:r>
        <w:rPr>
          <w:b w:val="0"/>
          <w:i w:val="0"/>
        </w:rPr>
        <w:t>Assume, for every i,j:</w:t>
      </w:r>
    </w:p>
    <w:p>
      <w:pPr>
        <w:pStyle w:val="ListBullet"/>
        <w:spacing w:after="20"/>
      </w:pPr>
      <m:oMath>
        <m:d>
          <m:dPr>
            <m:begChr m:val="|"/>
            <m:endChr m:val="|"/>
          </m:dPr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/>
                      </w:rPr>
                      <m:t xml:space="preserve">κ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κ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e>
        </m:d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</w:p>
    <w:p>
      <w:pPr>
        <w:pStyle w:val="ListBullet"/>
        <w:spacing w:after="20"/>
      </w:pPr>
      <m:oMath>
        <m:sSub>
          <m:e>
            <m:r>
              <w:rPr>
                <w:rFonts w:ascii="Cambria Math" w:hAnsi="Cambria Math"/>
              </w:rPr>
              <m:t xml:space="preserve">κ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  <m:r>
          <m:rPr>
            <m:nor/>
          </m:rPr>
          <w:rPr>
            <w:rFonts w:ascii="Cambria Math" w:hAnsi="Cambria Math"/>
          </w:rPr>
          <m:t xml:space="preserve">  and 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</w:rPr>
                  <m:t xml:space="preserve">κ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</w:p>
    <w:p>
      <w:pPr>
        <w:pStyle w:val="ListBullet"/>
        <w:spacing w:after="20"/>
      </w:pPr>
      <m:oMath>
        <m:sSub>
          <m:e>
            <m:d>
              <m:dPr>
                <m:begChr m:val="‖"/>
                <m:endChr m:val="‖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max</m:t>
            </m:r>
          </m:sub>
        </m:sSub>
      </m:oMath>
    </w:p>
    <w:p>
      <w:pPr>
        <w:pStyle w:val="ListBullet"/>
        <w:spacing w:after="20"/>
      </w:pP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N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</w:p>
    <w:p>
      <w:pPr>
        <w:spacing w:after="60"/>
      </w:pPr>
      <w:r>
        <w:rPr>
          <w:b w:val="0"/>
          <w:i w:val="0"/>
        </w:rPr>
        <w:t>Then:</w:t>
      </w:r>
    </w:p>
    <w:p>
      <w:pPr>
        <w:spacing w:after="40"/>
        <w:jc w:val="center"/>
      </w:pPr>
      <m:oMathPara>
        <m:oMath>
          <m:d>
            <m:dPr>
              <m:begChr m:val="|"/>
              <m:endChr m:val="|"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N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</m:oMath>
      </m:oMathPara>
    </w:p>
    <w:p>
      <w:pPr>
        <w:spacing w:after="40"/>
        <w:jc w:val="center"/>
      </w:pPr>
      <m:oMathPara>
        <m:oMath>
          <m:sSub>
            <m:e>
              <m:d>
                <m:dPr>
                  <m:begChr m:val="‖"/>
                  <m:endChr m:val="‖"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N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max</m:t>
              </m:r>
            </m:sub>
          </m:sSub>
        </m:oMath>
      </m:oMathPara>
    </w:p>
    <w:p>
      <w:pPr>
        <w:spacing w:after="4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≥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N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</m:oMath>
      </m:oMathPara>
    </w:p>
    <w:p>
      <w:pPr>
        <w:spacing w:after="60"/>
      </w:pPr>
      <w:r>
        <w:rPr>
          <w:b w:val="0"/>
          <w:i w:val="0"/>
        </w:rPr>
        <w:t xml:space="preserve">Using </w:t>
      </w:r>
      <m:oMath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L</m:t>
            </m:r>
          </m:sup>
        </m:sSubSup>
        <m:r>
          <w:rPr>
            <w:rFonts w:ascii="Cambria Math" w:hAnsi="Cambria Math"/>
          </w:rPr>
          <m:t xml:space="preserve">−</m:t>
        </m:r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S</m:t>
            </m:r>
          </m:sup>
        </m:sSubSup>
        <m:r>
          <w:rPr>
            <w:rFonts w:ascii="Cambria Math" w:hAnsi="Cambria Math"/>
          </w:rPr>
          <m:t xml:space="preserve">=</m:t>
        </m:r>
        <m:f>
          <m:num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num>
          <m:den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den>
            </m:f>
          </m:e>
        </m:d>
      </m:oMath>
      <w:r>
        <w:rPr>
          <w:b w:val="0"/>
          <w:i w:val="0"/>
        </w:rPr>
        <w:t xml:space="preserve">, together with </w:t>
      </w:r>
      <m:oMath>
        <m:sSub>
          <m:e>
            <m:d>
              <m:dPr>
                <m:begChr m:val="‖"/>
                <m:endChr m:val="‖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max</m:t>
            </m:r>
          </m:sub>
        </m:sSub>
      </m:oMath>
      <w:r>
        <w:rPr>
          <w:b w:val="0"/>
          <w:i w:val="0"/>
        </w:rPr>
        <w:t xml:space="preserve">, gives:</w:t>
      </w:r>
    </w:p>
    <w:p>
      <w:pPr>
        <w:spacing w:after="40"/>
        <w:jc w:val="center"/>
      </w:pPr>
      <m:oMathPara>
        <m:oMath>
          <m:sSub>
            <m:e>
              <m:d>
                <m:dPr>
                  <m:begChr m:val="‖"/>
                  <m:endChr m:val="‖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−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sup>
                  </m:sSubSup>
                </m:e>
              </m:d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max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den>
          </m:f>
        </m:oMath>
      </m:oMathPara>
    </w:p>
    <w:p>
      <w:pPr>
        <w:spacing w:after="60"/>
      </w:pPr>
      <w:r>
        <w:rPr>
          <w:b w:val="0"/>
          <w:i w:val="0"/>
        </w:rPr>
        <w:t xml:space="preserve">Therefore, a sufficient condition for </w:t>
      </w:r>
      <m:oMath>
        <m:sSub>
          <m:e>
            <m:d>
              <m:dPr>
                <m:begChr m:val="‖"/>
                <m:endChr m:val="‖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L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S</m:t>
                    </m:r>
                  </m:sup>
                </m:sSubSup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δ</m:t>
        </m:r>
      </m:oMath>
      <w:r>
        <w:rPr>
          <w:b w:val="0"/>
          <w:i w:val="0"/>
        </w:rPr>
        <w:t xml:space="preserve"> is:</w:t>
      </w:r>
    </w:p>
    <w:p>
      <w:pPr>
        <w:spacing w:after="4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</m:d>
            </m:den>
          </m:f>
        </m:oMath>
      </m:oMathPara>
    </w:p>
    <w:p>
      <w:pPr>
        <w:spacing w:after="60"/>
      </w:pPr>
      <w:r>
        <w:rPr>
          <w:b w:val="0"/>
          <w:i w:val="0"/>
        </w:rPr>
        <w:t>This is the mathematical bridge from kernel approximation to attention-output accuracy.</w:t>
      </w:r>
    </w:p>
    <w:p>
      <w:pPr>
        <w:pStyle w:val="Heading1"/>
      </w:pPr>
      <w:r>
        <w:t>6. Adaptive-Rank Rule</w:t>
      </w:r>
    </w:p>
    <w:p>
      <w:pPr>
        <w:spacing w:after="60"/>
      </w:pPr>
      <w:r>
        <w:rPr>
          <w:b w:val="0"/>
          <w:i w:val="0"/>
        </w:rPr>
        <w:t xml:space="preserve">If a valid bound </w:t>
      </w:r>
      <m:oMath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b w:val="0"/>
          <w:i w:val="0"/>
        </w:rPr>
        <w:t xml:space="preserve"> is available for the selected feature construction (uniform over all rows </w:t>
      </w:r>
      <m:oMath>
        <m:r>
          <w:rPr>
            <w:rFonts w:ascii="Cambria Math" w:hAnsi="Cambria Math"/>
          </w:rPr>
          <m:t xml:space="preserve">i</m:t>
        </m:r>
      </m:oMath>
      <w:r>
        <w:rPr>
          <w:b w:val="0"/>
          <w:i w:val="0"/>
        </w:rPr>
        <w:t xml:space="preserve">), choose the smallest rank satisfying the sufficient condition:</w:t>
      </w:r>
    </w:p>
    <w:p>
      <w:pPr>
        <w:spacing w:after="4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∗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δ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min</m:t>
          </m:r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: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≤</m:t>
              </m:r>
              <m:f>
                <m:num>
                  <m:r>
                    <w:rPr>
                      <w:rFonts w:ascii="Cambria Math" w:hAnsi="Cambria Math"/>
                    </w:rPr>
                    <m:t xml:space="preserve">δ</m:t>
                  </m:r>
                  <m:func>
                    <m:fNam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min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fName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</m:e>
                  </m:d>
                </m:den>
              </m:f>
            </m:e>
          </m:d>
        </m:oMath>
      </m:oMathPara>
    </w:p>
    <w:p>
      <w:pPr>
        <w:spacing w:after="60"/>
      </w:pPr>
      <w:r>
        <w:rPr>
          <w:b w:val="0"/>
          <w:i w:val="0"/>
        </w:rPr>
        <w:t xml:space="preserve">This produces a quality-controlled computational budget rather than treating </w:t>
      </w:r>
      <m:oMath>
        <m:r>
          <w:rPr>
            <w:rFonts w:ascii="Cambria Math" w:hAnsi="Cambria Math"/>
          </w:rPr>
          <m:t xml:space="preserve">r</m:t>
        </m:r>
      </m:oMath>
      <w:r>
        <w:rPr>
          <w:b w:val="0"/>
          <w:i w:val="0"/>
        </w:rPr>
        <w:t xml:space="preserve"> as a fixed hyperparameter. The theoretical task is to obtain a valid </w:t>
      </w:r>
      <m:oMath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b w:val="0"/>
          <w:i w:val="0"/>
        </w:rPr>
        <w:t xml:space="preserve"> bound with explicit dependence on feature dimension, input geometry and confidence.</w:t>
      </w:r>
    </w:p>
    <w:p>
      <w:pPr>
        <w:pStyle w:val="Heading1"/>
      </w:pPr>
      <w:r>
        <w:t>7. Testable Predictions</w:t>
      </w:r>
    </w:p>
    <w:p>
      <w:pPr>
        <w:pStyle w:val="ListBullet"/>
        <w:spacing w:after="20"/>
      </w:pPr>
      <w:r>
        <w:t>Required rank varies with input geometry, query–key scale/temperature and attention concentration.</w:t>
      </w:r>
    </w:p>
    <w:p>
      <w:pPr>
        <w:pStyle w:val="ListBullet"/>
        <w:spacing w:after="20"/>
      </w:pPr>
      <w:r>
        <w:t xml:space="preserve">Increasing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reduces approximation error over a measurable operating regime.</w:t>
      </w:r>
    </w:p>
    <w:p>
      <w:pPr>
        <w:pStyle w:val="ListBullet"/>
        <w:spacing w:after="20"/>
      </w:pPr>
      <w:r>
        <w:t xml:space="preserve">Some inputs satisfy a fixed tolerance at substantially smaller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than others.</w:t>
      </w:r>
    </w:p>
    <w:p>
      <w:pPr>
        <w:pStyle w:val="ListBullet"/>
        <w:spacing w:after="20"/>
      </w:pPr>
      <w:r>
        <w:t>Adaptive rank can reduce average feature-state computation while remaining within the prescribed tolerance.</w:t>
      </w:r>
    </w:p>
    <w:p>
      <w:pPr>
        <w:pStyle w:val="ListBullet"/>
        <w:spacing w:after="20"/>
      </w:pPr>
      <w:r>
        <w:t xml:space="preserve">If difficult inputs require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comparable to </w:t>
      </w:r>
      <m:oMath>
        <m:r>
          <w:rPr>
            <w:rFonts w:ascii="Cambria Math" w:hAnsi="Cambria Math"/>
          </w:rPr>
          <m:t xml:space="preserve">N</m:t>
        </m:r>
      </m:oMath>
      <w:r>
        <w:t xml:space="preserve">, or rank-selection overhead removes the savings, the hypothesis is not supported in that regime.</w:t>
      </w:r>
    </w:p>
    <w:p>
      <w:pPr>
        <w:pStyle w:val="Heading1"/>
      </w:pPr>
      <w:r>
        <w:t>8. Research Position and Relevant Prior Work</w:t>
      </w:r>
    </w:p>
    <w:p>
      <w:pPr>
        <w:spacing w:after="60"/>
      </w:pPr>
      <w:r>
        <w:rPr>
          <w:b w:val="0"/>
          <w:i w:val="0"/>
        </w:rPr>
        <w:t>The novelty claim must be narrow. Kernelized linear attention and random-feature approximation of softmax are established. The proposed research is the combination of an explicit output-error certificate with an input-conditioned minimum-rank rule and its measured efficiency boundary.</w:t>
      </w:r>
    </w:p>
    <w:p>
      <w:pPr>
        <w:spacing w:after="60"/>
      </w:pPr>
      <w:r>
        <w:rPr>
          <w:b w:val="0"/>
          <w:i w:val="0"/>
        </w:rPr>
        <w:t>Katharopoulos et al. (2020), Transformers are RNNs: Fast Autoregressive Transformers with Linear Attention — establishes kernelized linear attention through associativity and linear sequence-length complexity.</w:t>
      </w:r>
    </w:p>
    <w:p>
      <w:pPr>
        <w:spacing w:after="60"/>
      </w:pPr>
      <w:r>
        <w:rPr>
          <w:b w:val="0"/>
          <w:i w:val="0"/>
        </w:rPr>
        <w:t>Choromanski et al. (2020/2021), Rethinking Attention with Performers — establishes FAVOR+ positive random features for linear-time/space approximation of softmax attention with theoretical guarantees.</w:t>
      </w:r>
    </w:p>
    <w:p>
      <w:pPr>
        <w:spacing w:after="60"/>
      </w:pPr>
      <w:r>
        <w:rPr>
          <w:b w:val="0"/>
          <w:i w:val="0"/>
        </w:rPr>
        <w:t>Likhosherstov et al. (2023), FAVOR# — develops sharper positive random-feature approximations and variance reduction for softmax/Gaussian kernels.</w:t>
      </w:r>
    </w:p>
    <w:p>
      <w:pPr>
        <w:spacing w:after="60"/>
      </w:pPr>
      <w:r>
        <w:rPr>
          <w:b w:val="0"/>
          <w:i w:val="0"/>
        </w:rPr>
        <w:t>Sui &amp; Zhang (2026), The Approximation Rank of Softmax Attention — directly studies approximation rank and its dependence on geometry and temperature; this makes a generic 'adaptive rank is novel' claim inappropriate and motivates a more specific certificate-to-computation contribution.</w:t>
      </w:r>
    </w:p>
    <w:p>
      <w:pPr>
        <w:pStyle w:val="Heading1"/>
      </w:pPr>
      <w:r>
        <w:t>9. Experimental Validation</w:t>
      </w:r>
    </w:p>
    <w:p>
      <w:pPr>
        <w:pStyle w:val="ListBullet"/>
        <w:spacing w:after="20"/>
      </w:pPr>
      <w:r>
        <w:t>Compare exact softmax, explicit kernel attention and reordered kernel attention.</w:t>
      </w:r>
    </w:p>
    <w:p>
      <w:pPr>
        <w:pStyle w:val="ListBullet"/>
        <w:spacing w:after="20"/>
      </w:pPr>
      <w:r>
        <w:t>Verify explicit and reordered forms numerically agree before quality comparisons.</w:t>
      </w:r>
    </w:p>
    <w:p>
      <w:pPr>
        <w:pStyle w:val="ListBullet"/>
        <w:spacing w:after="20"/>
      </w:pPr>
      <w:r>
        <w:t xml:space="preserve">Sweep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and measure </w:t>
      </w:r>
      <m:oMath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d>
                  <m:dPr>
                    <m:begChr m:val="‖"/>
                    <m:endChr m:val="‖"/>
                  </m:dP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d>
                  <m:dPr>
                    <m:begChr m:val="‖"/>
                    <m:endChr m:val="‖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t xml:space="preserve">.</w:t>
      </w:r>
    </w:p>
    <w:p>
      <w:pPr>
        <w:pStyle w:val="ListBullet"/>
        <w:spacing w:after="20"/>
      </w:pPr>
      <w:r>
        <w:t xml:space="preserve">Compare certified/selected rank against the empirical minimum rank satisfying the target </w:t>
      </w:r>
      <m:oMath>
        <m:r>
          <w:rPr>
            <w:rFonts w:ascii="Cambria Math" w:hAnsi="Cambria Math"/>
          </w:rPr>
          <m:t xml:space="preserve">δ</m:t>
        </m:r>
      </m:oMath>
      <w:r>
        <w:t xml:space="preserve">.</w:t>
      </w:r>
    </w:p>
    <w:p>
      <w:pPr>
        <w:pStyle w:val="ListBullet"/>
        <w:spacing w:after="20"/>
      </w:pPr>
      <w:r>
        <w:t>Measure latency and peak memory, including rank-selection overhead.</w:t>
      </w:r>
    </w:p>
    <w:p>
      <w:pPr>
        <w:pStyle w:val="ListBullet"/>
        <w:spacing w:after="20"/>
      </w:pPr>
      <w:r>
        <w:t>Evaluate retrieval accuracy using fixed-dimensional value codes and controlled distractor margins.</w:t>
      </w:r>
    </w:p>
    <w:p>
      <w:pPr>
        <w:spacing w:after="60"/>
      </w:pPr>
      <w:r>
        <w:rPr>
          <w:b w:val="0"/>
          <w:i/>
        </w:rPr>
        <w:t>The final result should report both successful operating regimes and failure boundaries.</w:t>
      </w:r>
    </w:p>
    <w:p>
      <w:pPr>
        <w:pStyle w:val="Heading1"/>
      </w:pPr>
      <w:r>
        <w:t>10. Final Research Hypothesis</w:t>
      </w:r>
    </w:p>
    <w:p>
      <w:pPr>
        <w:spacing w:after="60"/>
      </w:pPr>
      <w:r>
        <w:rPr>
          <w:b w:val="0"/>
          <w:i w:val="0"/>
        </w:rPr>
        <w:t xml:space="preserve">H1: For normalized softmax attention, there exists an input-conditioned feature dimension </w:t>
      </w:r>
      <m:oMath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δ</m:t>
            </m:r>
          </m:e>
        </m:d>
      </m:oMath>
      <w:r>
        <w:rPr>
          <w:b w:val="0"/>
          <w:i w:val="0"/>
        </w:rPr>
        <w:t xml:space="preserve">, selected from a valid approximation-error certificate, such that positive-kernel linear attention satisfies a prescribed output tolerance </w:t>
      </w:r>
      <m:oMath>
        <m:r>
          <w:rPr>
            <w:rFonts w:ascii="Cambria Math" w:hAnsi="Cambria Math"/>
          </w:rPr>
          <m:t xml:space="preserve">δ</m:t>
        </m:r>
      </m:oMath>
      <w:r>
        <w:rPr>
          <w:b w:val="0"/>
          <w:i w:val="0"/>
        </w:rPr>
        <w:t xml:space="preserve"> while retaining linear sequence-length complexity. Relative to a conservative fixed-rank approximation, this adaptive allocation can reduce average feature computation over a defined operating regime.</w:t>
      </w:r>
    </w:p>
    <w:p>
      <w:pPr>
        <w:pStyle w:val="Heading1"/>
      </w:pPr>
      <w:r>
        <w:t>Selected References</w:t>
      </w:r>
    </w:p>
    <w:p>
      <w:pPr>
        <w:pStyle w:val="ListNumber"/>
        <w:spacing w:after="20"/>
      </w:pPr>
      <w:r>
        <w:t xml:space="preserve">Katharopoulos et al. (2020). Transformers are RNNs: Fast Autoregressive Transformers with Linear Attention. </w:t>
      </w:r>
      <w:r>
        <w:t>https://arxiv.org/abs/2006.16236</w:t>
      </w:r>
    </w:p>
    <w:p>
      <w:pPr>
        <w:pStyle w:val="ListNumber"/>
        <w:spacing w:after="20"/>
      </w:pPr>
      <w:r>
        <w:t xml:space="preserve">Choromanski et al. (2020). Rethinking Attention with Performers. </w:t>
      </w:r>
      <w:r>
        <w:t>https://arxiv.org/abs/2009.14794</w:t>
      </w:r>
    </w:p>
    <w:p>
      <w:pPr>
        <w:pStyle w:val="ListNumber"/>
        <w:spacing w:after="20"/>
      </w:pPr>
      <w:r>
        <w:t xml:space="preserve">Likhosherstov et al. (2023). FAVOR#: Sharp Attention Kernel Approximations via New Classes of Positive Random Features. </w:t>
      </w:r>
      <w:r>
        <w:t>https://arxiv.org/abs/2302.00787</w:t>
      </w:r>
    </w:p>
    <w:p>
      <w:pPr>
        <w:pStyle w:val="ListNumber"/>
        <w:spacing w:after="20"/>
      </w:pPr>
      <w:r>
        <w:t xml:space="preserve">Sui &amp; Zhang (2026). The Approximation Rank of Softmax Attention: Sharp Geometric Laws and Robust Interaction Dimension. </w:t>
      </w:r>
      <w:r>
        <w:t>https://arxiv.org/abs/2608.28150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