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napToGrid w:val="0"/>
      </w:pPr>
      <w:r>
        <w:rPr>
          <w:rFonts w:ascii="Calibri" w:hAnsi="Calibri" w:eastAsia="Microsoft YaHei"/>
          <w:color w:val="000000"/>
        </w:rPr>
        <w:t>Team 3 Linear Attention Research Workbook</w:t>
      </w:r>
    </w:p>
    <w:p>
      <w:pPr>
        <w:snapToGrid w:val="0"/>
      </w:pPr>
      <w:r>
        <w:rPr>
          <w:rFonts w:ascii="Calibri" w:hAnsi="Calibri" w:eastAsia="Microsoft YaHei"/>
          <w:color w:val="000000"/>
        </w:rPr>
        <w:t>Correct the attention comparison, run reproducible efficiency and retrieval experiments, and state the conditions under which benefits hold. Theoretical complexity and a single worked example are not measured performance. Progress through completion criteria without a fixed time limit.</w:t>
      </w:r>
    </w:p>
    <w:p>
      <w:pPr>
        <w:snapToGrid w:val="0"/>
      </w:pPr>
      <w:r>
        <w:rPr>
          <w:rFonts w:ascii="Calibri" w:hAnsi="Calibri" w:eastAsia="Microsoft YaHei"/>
          <w:color w:val="000000"/>
        </w:rPr>
        <w:t>Project lead: To complete    Experiment lead: To complete</w:t>
        <w:br/>
        <w:t>Reviewer: To complete    Work date: To complete    Version: 1.0</w:t>
      </w:r>
    </w:p>
    <w:p>
      <w:pPr>
        <w:pStyle w:val="Heading2"/>
        <w:snapToGrid w:val="0"/>
      </w:pPr>
      <w:r>
        <w:rPr>
          <w:rFonts w:ascii="Calibri" w:hAnsi="Calibri" w:eastAsia="Microsoft YaHei"/>
          <w:color w:val="000000"/>
        </w:rPr>
        <w:t>1 Current status</w:t>
      </w:r>
    </w:p>
    <w:p>
      <w:pPr>
        <w:snapToGrid w:val="0"/>
      </w:pPr>
      <w:r>
        <w:rPr>
          <w:rFonts w:ascii="Calibri" w:hAnsi="Calibri" w:eastAsia="Microsoft YaHei"/>
          <w:color w:val="000000"/>
        </w:rPr>
        <w:t>The proposal defines an efficiency-quality trade-off, identifies controls, and gives a three-token calculation. It does not report runtime, memory, retrieval results, or statistical evidence. Section 12 labels feature-mapped scores as the original QK transpose product; correct this first.</w:t>
      </w:r>
    </w:p>
    <w:tbl>
      <w:tblPr>
        <w:tblW w:type="auto" w:w="0"/>
        <w:tblLayout w:type="fixed"/>
        <w:tblLook w:firstColumn="1" w:firstRow="1" w:lastColumn="0" w:lastRow="0" w:noHBand="0" w:noVBand="1" w:val="04A0"/>
      </w:tblPr>
      <w:tblGrid>
        <w:gridCol w:w="1152"/>
        <w:gridCol w:w="3888"/>
        <w:gridCol w:w="4608"/>
      </w:tblGrid>
      <w:tr>
        <w:trPr>
          <w:cantSplit/>
          <w:tblHeader/>
        </w:trPr>
        <w:tc>
          <w:tcPr>
            <w:tcW w:type="dxa" w:w="1152"/>
            <w:vAlign w:val="center"/>
            <w:shd w:fill="E8EEF4"/>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2" w:lineRule="auto"/>
              <w:snapToGrid w:val="0"/>
            </w:pPr>
            <w:r>
              <w:rPr>
                <w:rFonts w:ascii="Calibri" w:hAnsi="Calibri" w:eastAsia="Microsoft YaHei"/>
                <w:b/>
                <w:color w:val="000000"/>
                <w:sz w:val="18"/>
              </w:rPr>
              <w:t>PDCA</w:t>
            </w:r>
          </w:p>
        </w:tc>
        <w:tc>
          <w:tcPr>
            <w:tcW w:type="dxa" w:w="3888"/>
            <w:vAlign w:val="center"/>
            <w:shd w:fill="E8EEF4"/>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2" w:lineRule="auto"/>
              <w:snapToGrid w:val="0"/>
            </w:pPr>
            <w:r>
              <w:rPr>
                <w:rFonts w:ascii="Calibri" w:hAnsi="Calibri" w:eastAsia="Microsoft YaHei"/>
                <w:b/>
                <w:color w:val="000000"/>
                <w:sz w:val="18"/>
              </w:rPr>
              <w:t>Existing work</w:t>
            </w:r>
          </w:p>
        </w:tc>
        <w:tc>
          <w:tcPr>
            <w:tcW w:type="dxa" w:w="4608"/>
            <w:vAlign w:val="center"/>
            <w:shd w:fill="E8EEF4"/>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2" w:lineRule="auto"/>
              <w:snapToGrid w:val="0"/>
            </w:pPr>
            <w:r>
              <w:rPr>
                <w:rFonts w:ascii="Calibri" w:hAnsi="Calibri" w:eastAsia="Microsoft YaHei"/>
                <w:b/>
                <w:color w:val="000000"/>
                <w:sz w:val="18"/>
              </w:rPr>
              <w:t>Required next step</w:t>
            </w:r>
          </w:p>
        </w:tc>
      </w:tr>
      <w:tr>
        <w:trPr>
          <w:cantSplit/>
        </w:trPr>
        <w:tc>
          <w:tcPr>
            <w:tcW w:type="dxa" w:w="1152"/>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2" w:lineRule="auto"/>
              <w:snapToGrid w:val="0"/>
            </w:pPr>
            <w:r>
              <w:rPr>
                <w:rFonts w:ascii="Calibri" w:hAnsi="Calibri" w:eastAsia="Microsoft YaHei"/>
                <w:b w:val="0"/>
                <w:color w:val="000000"/>
                <w:sz w:val="18"/>
              </w:rPr>
              <w:t>Plan</w:t>
            </w:r>
          </w:p>
        </w:tc>
        <w:tc>
          <w:tcPr>
            <w:tcW w:type="dxa" w:w="3888"/>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2" w:lineRule="auto"/>
              <w:snapToGrid w:val="0"/>
            </w:pPr>
            <w:r>
              <w:rPr>
                <w:rFonts w:ascii="Calibri" w:hAnsi="Calibri" w:eastAsia="Microsoft YaHei"/>
                <w:b w:val="0"/>
                <w:color w:val="000000"/>
                <w:sz w:val="18"/>
              </w:rPr>
              <w:t>Question and controls identified</w:t>
            </w:r>
          </w:p>
        </w:tc>
        <w:tc>
          <w:tcPr>
            <w:tcW w:type="dxa" w:w="4608"/>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2" w:lineRule="auto"/>
              <w:snapToGrid w:val="0"/>
            </w:pPr>
            <w:r>
              <w:rPr>
                <w:rFonts w:ascii="Calibri" w:hAnsi="Calibri" w:eastAsia="Microsoft YaHei"/>
                <w:b w:val="0"/>
                <w:color w:val="000000"/>
                <w:sz w:val="18"/>
              </w:rPr>
              <w:t>Define baseline and quality tolerance</w:t>
            </w:r>
          </w:p>
        </w:tc>
      </w:tr>
      <w:tr>
        <w:trPr>
          <w:cantSplit/>
        </w:trPr>
        <w:tc>
          <w:tcPr>
            <w:tcW w:type="dxa" w:w="1152"/>
            <w:vAlign w:val="center"/>
            <w:shd w:fill="F7F8FA"/>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2" w:lineRule="auto"/>
              <w:snapToGrid w:val="0"/>
            </w:pPr>
            <w:r>
              <w:rPr>
                <w:rFonts w:ascii="Calibri" w:hAnsi="Calibri" w:eastAsia="Microsoft YaHei"/>
                <w:b w:val="0"/>
                <w:color w:val="000000"/>
                <w:sz w:val="18"/>
              </w:rPr>
              <w:t>Do</w:t>
            </w:r>
          </w:p>
        </w:tc>
        <w:tc>
          <w:tcPr>
            <w:tcW w:type="dxa" w:w="3888"/>
            <w:vAlign w:val="center"/>
            <w:shd w:fill="F7F8FA"/>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2" w:lineRule="auto"/>
              <w:snapToGrid w:val="0"/>
            </w:pPr>
            <w:r>
              <w:rPr>
                <w:rFonts w:ascii="Calibri" w:hAnsi="Calibri" w:eastAsia="Microsoft YaHei"/>
                <w:b w:val="0"/>
                <w:color w:val="000000"/>
                <w:sz w:val="18"/>
              </w:rPr>
              <w:t>Worked example explains associativity</w:t>
            </w:r>
          </w:p>
        </w:tc>
        <w:tc>
          <w:tcPr>
            <w:tcW w:type="dxa" w:w="4608"/>
            <w:vAlign w:val="center"/>
            <w:shd w:fill="F7F8FA"/>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2" w:lineRule="auto"/>
              <w:snapToGrid w:val="0"/>
            </w:pPr>
            <w:r>
              <w:rPr>
                <w:rFonts w:ascii="Calibri" w:hAnsi="Calibri" w:eastAsia="Microsoft YaHei"/>
                <w:b w:val="0"/>
                <w:color w:val="000000"/>
                <w:sz w:val="18"/>
              </w:rPr>
              <w:t>Correct it and implement both computations</w:t>
            </w:r>
          </w:p>
        </w:tc>
      </w:tr>
      <w:tr>
        <w:trPr>
          <w:cantSplit/>
        </w:trPr>
        <w:tc>
          <w:tcPr>
            <w:tcW w:type="dxa" w:w="1152"/>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2" w:lineRule="auto"/>
              <w:snapToGrid w:val="0"/>
            </w:pPr>
            <w:r>
              <w:rPr>
                <w:rFonts w:ascii="Calibri" w:hAnsi="Calibri" w:eastAsia="Microsoft YaHei"/>
                <w:b w:val="0"/>
                <w:color w:val="000000"/>
                <w:sz w:val="18"/>
              </w:rPr>
              <w:t>Check</w:t>
            </w:r>
          </w:p>
        </w:tc>
        <w:tc>
          <w:tcPr>
            <w:tcW w:type="dxa" w:w="3888"/>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2" w:lineRule="auto"/>
              <w:snapToGrid w:val="0"/>
            </w:pPr>
            <w:r>
              <w:rPr>
                <w:rFonts w:ascii="Calibri" w:hAnsi="Calibri" w:eastAsia="Microsoft YaHei"/>
                <w:b w:val="0"/>
                <w:color w:val="000000"/>
                <w:sz w:val="18"/>
              </w:rPr>
              <w:t>Efficiency and quality metrics proposed</w:t>
            </w:r>
          </w:p>
        </w:tc>
        <w:tc>
          <w:tcPr>
            <w:tcW w:type="dxa" w:w="4608"/>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2" w:lineRule="auto"/>
              <w:snapToGrid w:val="0"/>
            </w:pPr>
            <w:r>
              <w:rPr>
                <w:rFonts w:ascii="Calibri" w:hAnsi="Calibri" w:eastAsia="Microsoft YaHei"/>
                <w:b w:val="0"/>
                <w:color w:val="000000"/>
                <w:sz w:val="18"/>
              </w:rPr>
              <w:t>Run scaling and retrieval experiments</w:t>
            </w:r>
          </w:p>
        </w:tc>
      </w:tr>
      <w:tr>
        <w:trPr>
          <w:cantSplit/>
        </w:trPr>
        <w:tc>
          <w:tcPr>
            <w:tcW w:type="dxa" w:w="1152"/>
            <w:vAlign w:val="center"/>
            <w:shd w:fill="F7F8FA"/>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2" w:lineRule="auto"/>
              <w:snapToGrid w:val="0"/>
            </w:pPr>
            <w:r>
              <w:rPr>
                <w:rFonts w:ascii="Calibri" w:hAnsi="Calibri" w:eastAsia="Microsoft YaHei"/>
                <w:b w:val="0"/>
                <w:color w:val="000000"/>
                <w:sz w:val="18"/>
              </w:rPr>
              <w:t>Act</w:t>
            </w:r>
          </w:p>
        </w:tc>
        <w:tc>
          <w:tcPr>
            <w:tcW w:type="dxa" w:w="3888"/>
            <w:vAlign w:val="center"/>
            <w:shd w:fill="F7F8FA"/>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2" w:lineRule="auto"/>
              <w:snapToGrid w:val="0"/>
            </w:pPr>
            <w:r>
              <w:rPr>
                <w:rFonts w:ascii="Calibri" w:hAnsi="Calibri" w:eastAsia="Microsoft YaHei"/>
                <w:b w:val="0"/>
                <w:color w:val="000000"/>
                <w:sz w:val="18"/>
              </w:rPr>
              <w:t>Longer sequences proposed</w:t>
            </w:r>
          </w:p>
        </w:tc>
        <w:tc>
          <w:tcPr>
            <w:tcW w:type="dxa" w:w="4608"/>
            <w:vAlign w:val="center"/>
            <w:shd w:fill="F7F8FA"/>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2" w:lineRule="auto"/>
              <w:snapToGrid w:val="0"/>
            </w:pPr>
            <w:r>
              <w:rPr>
                <w:rFonts w:ascii="Calibri" w:hAnsi="Calibri" w:eastAsia="Microsoft YaHei"/>
                <w:b w:val="0"/>
                <w:color w:val="000000"/>
                <w:sz w:val="18"/>
              </w:rPr>
              <w:t>Determine measured operating boundaries</w:t>
            </w:r>
          </w:p>
        </w:tc>
      </w:tr>
    </w:tbl>
    <w:p>
      <w:pPr>
        <w:spacing w:after="0"/>
        <w:snapToGrid w:val="0"/>
      </w:pPr>
    </w:p>
    <w:p>
      <w:pPr>
        <w:pStyle w:val="Heading2"/>
        <w:snapToGrid w:val="0"/>
      </w:pPr>
      <w:r>
        <w:rPr>
          <w:rFonts w:ascii="Calibri" w:hAnsi="Calibri" w:eastAsia="Microsoft YaHei"/>
          <w:color w:val="000000"/>
        </w:rPr>
        <w:t>2 Intuition</w:t>
      </w:r>
    </w:p>
    <w:p>
      <w:pPr>
        <w:snapToGrid w:val="0"/>
      </w:pPr>
      <w:r>
        <w:rPr>
          <w:rFonts w:ascii="Calibri" w:hAnsi="Calibri" w:eastAsia="Microsoft YaHei"/>
          <w:color w:val="000000"/>
        </w:rPr>
        <w:t>Standard attention compares each query against every key and aggregates values. Kernelized linear attention accumulates keys and values into a fixed-dimensional state and lets queries read it. The smaller state can mix details that the task needs to distinguish.</w:t>
      </w:r>
    </w:p>
    <w:p>
      <w:pPr>
        <w:pStyle w:val="Heading2"/>
        <w:snapToGrid w:val="0"/>
      </w:pPr>
      <w:r>
        <w:rPr>
          <w:rFonts w:ascii="Calibri" w:hAnsi="Calibri" w:eastAsia="Microsoft YaHei"/>
          <w:color w:val="000000"/>
        </w:rPr>
        <w:t>3 Plan and hypotheses</w:t>
      </w:r>
    </w:p>
    <w:p>
      <w:pPr>
        <w:snapToGrid w:val="0"/>
      </w:pPr>
      <w:r>
        <w:rPr>
          <w:rFonts w:ascii="Calibri" w:hAnsi="Calibri" w:eastAsia="Microsoft YaHei"/>
          <w:color w:val="000000"/>
        </w:rPr>
        <w:t>RQ1: at fixed dimensions, hardware, precision, and implementation, how do latency and memory scale with sequence length? RQ2: how do output deviation and key-value retrieval accuracy compare with standard scaled softmax attention?</w:t>
      </w:r>
    </w:p>
    <w:p>
      <w:pPr>
        <w:snapToGrid w:val="0"/>
      </w:pPr>
      <w:r>
        <w:rPr>
          <w:rFonts w:ascii="Calibri" w:hAnsi="Calibri" w:eastAsia="Microsoft YaHei"/>
          <w:color w:val="000000"/>
        </w:rPr>
        <w:t>Test efficiency and quality separately. Use a timing ratio R=linear/softmax and a retrieval accuracy difference. A claim of faster computation with acceptable quality must meet both a predefined speed target and a non-inferiority margin δ.</w:t>
      </w:r>
    </w:p>
    <w:p>
      <w:pPr>
        <w:snapToGrid w:val="0"/>
      </w:pPr>
      <w:r>
        <w:rPr>
          <w:rFonts w:ascii="Calibri" w:hAnsi="Calibri" w:eastAsia="Microsoft YaHei"/>
          <w:color w:val="000000"/>
        </w:rPr>
        <w:t>A nonsignificant quality difference does not establish equivalence. Register δ, lengths, primary metrics, and statistics before testing. Linear attention is an established research direction; frame this work as reproduction and boundary analysis unless there is evidence of a new contribution.</w:t>
      </w:r>
    </w:p>
    <w:p>
      <w:pPr>
        <w:snapToGrid w:val="0"/>
      </w:pPr>
      <w:r>
        <w:rPr>
          <w:rFonts w:ascii="Calibri" w:hAnsi="Calibri" w:eastAsia="Microsoft YaHei"/>
          <w:color w:val="000000"/>
        </w:rPr>
        <w:br w:type="page"/>
      </w:r>
    </w:p>
    <w:p>
      <w:pPr>
        <w:pStyle w:val="Heading1"/>
        <w:snapToGrid w:val="0"/>
      </w:pPr>
      <w:r>
        <w:rPr>
          <w:rFonts w:ascii="Calibri" w:hAnsi="Calibri" w:eastAsia="Microsoft YaHei"/>
          <w:color w:val="000000"/>
        </w:rPr>
        <w:t>Team 3 Mathematical Corrections</w:t>
      </w:r>
    </w:p>
    <w:p>
      <w:pPr>
        <w:pStyle w:val="Heading2"/>
        <w:snapToGrid w:val="0"/>
      </w:pPr>
      <w:r>
        <w:rPr>
          <w:rFonts w:ascii="Calibri" w:hAnsi="Calibri" w:eastAsia="Microsoft YaHei"/>
          <w:color w:val="000000"/>
        </w:rPr>
        <w:t>4 Correct standard baseline</w:t>
      </w:r>
    </w:p>
    <w:p>
      <w:pPr>
        <w:snapToGrid w:val="0"/>
      </w:pPr>
      <w:r>
        <w:rPr>
          <w:rFonts w:ascii="Calibri" w:hAnsi="Calibri" w:eastAsia="Microsoft YaHei"/>
          <w:color w:val="000000"/>
        </w:rPr>
        <w:t>Standard scaled dot-product attention is softmax(QK^T/sqrt(d_k))V, with row normalization over keys. The proposal calls the operation scaled attention but omits the scale factor; align the equation and implementation.</w:t>
      </w:r>
    </w:p>
    <w:p>
      <w:pPr>
        <w:snapToGrid w:val="0"/>
      </w:pPr>
      <w:r>
        <w:rPr>
          <w:rFonts w:ascii="Calibri" w:hAnsi="Calibri" w:eastAsia="Microsoft YaHei"/>
          <w:color w:val="000000"/>
        </w:rPr>
        <w:t>Given Q=[[1,2],[2,1],[1,1]], K=[[1,0],[0,1],[1,1]], and V=[[10,0],[0,10],[5,5]], the correct QK^T is [[1,2,3],[2,1,3],[1,1,2]].</w:t>
      </w:r>
    </w:p>
    <w:p>
      <w:pPr>
        <w:snapToGrid w:val="0"/>
      </w:pPr>
      <w:r>
        <w:rPr>
          <w:rFonts w:ascii="Calibri" w:hAnsi="Calibri" w:eastAsia="Microsoft YaHei"/>
          <w:color w:val="000000"/>
        </w:rPr>
        <w:t>The reported [[7,8,10],[8,7,10],[6,6,8]] instead equals φ(Q)φ(K)^T for φ(x)=ReLU(x)+1. Label original and mapped inputs separately.</w:t>
      </w:r>
    </w:p>
    <w:tbl>
      <w:tblPr>
        <w:tblW w:type="auto" w:w="0"/>
        <w:tblLayout w:type="fixed"/>
        <w:tblLook w:firstColumn="1" w:firstRow="1" w:lastColumn="0" w:lastRow="0" w:noHBand="0" w:noVBand="1" w:val="04A0"/>
      </w:tblPr>
      <w:tblGrid>
        <w:gridCol w:w="3600"/>
        <w:gridCol w:w="3096"/>
        <w:gridCol w:w="2952"/>
      </w:tblGrid>
      <w:tr>
        <w:trPr>
          <w:cantSplit/>
          <w:tblHeader/>
        </w:trPr>
        <w:tc>
          <w:tcPr>
            <w:tcW w:type="dxa" w:w="3600"/>
            <w:vAlign w:val="center"/>
            <w:shd w:fill="E8EEF4"/>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2" w:lineRule="auto"/>
              <w:snapToGrid w:val="0"/>
            </w:pPr>
            <w:r>
              <w:rPr>
                <w:rFonts w:ascii="Calibri" w:hAnsi="Calibri" w:eastAsia="Microsoft YaHei"/>
                <w:b/>
                <w:color w:val="000000"/>
                <w:sz w:val="18"/>
              </w:rPr>
              <w:t>Computation</w:t>
            </w:r>
          </w:p>
        </w:tc>
        <w:tc>
          <w:tcPr>
            <w:tcW w:type="dxa" w:w="3096"/>
            <w:vAlign w:val="center"/>
            <w:shd w:fill="E8EEF4"/>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2" w:lineRule="auto"/>
              <w:snapToGrid w:val="0"/>
            </w:pPr>
            <w:r>
              <w:rPr>
                <w:rFonts w:ascii="Calibri" w:hAnsi="Calibri" w:eastAsia="Microsoft YaHei"/>
                <w:b/>
                <w:color w:val="000000"/>
                <w:sz w:val="18"/>
              </w:rPr>
              <w:t>First output row</w:t>
            </w:r>
          </w:p>
        </w:tc>
        <w:tc>
          <w:tcPr>
            <w:tcW w:type="dxa" w:w="2952"/>
            <w:vAlign w:val="center"/>
            <w:shd w:fill="E8EEF4"/>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2" w:lineRule="auto"/>
              <w:snapToGrid w:val="0"/>
            </w:pPr>
            <w:r>
              <w:rPr>
                <w:rFonts w:ascii="Calibri" w:hAnsi="Calibri" w:eastAsia="Microsoft YaHei"/>
                <w:b/>
                <w:color w:val="000000"/>
                <w:sz w:val="18"/>
              </w:rPr>
              <w:t>Role</w:t>
            </w:r>
          </w:p>
        </w:tc>
      </w:tr>
      <w:tr>
        <w:trPr>
          <w:cantSplit/>
        </w:trPr>
        <w:tc>
          <w:tcPr>
            <w:tcW w:type="dxa" w:w="3600"/>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2" w:lineRule="auto"/>
              <w:snapToGrid w:val="0"/>
            </w:pPr>
            <w:r>
              <w:rPr>
                <w:rFonts w:ascii="Calibri" w:hAnsi="Calibri" w:eastAsia="Microsoft YaHei"/>
                <w:b w:val="0"/>
                <w:color w:val="000000"/>
                <w:sz w:val="18"/>
              </w:rPr>
              <w:t>Original scaled softmax</w:t>
            </w:r>
          </w:p>
        </w:tc>
        <w:tc>
          <w:tcPr>
            <w:tcW w:type="dxa" w:w="3096"/>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2" w:lineRule="auto"/>
              <w:snapToGrid w:val="0"/>
            </w:pPr>
            <w:r>
              <w:rPr>
                <w:rFonts w:ascii="Calibri" w:hAnsi="Calibri" w:eastAsia="Microsoft YaHei"/>
                <w:b w:val="0"/>
                <w:color w:val="000000"/>
                <w:sz w:val="18"/>
              </w:rPr>
              <w:t>[4.280169, 5.719831]</w:t>
            </w:r>
          </w:p>
        </w:tc>
        <w:tc>
          <w:tcPr>
            <w:tcW w:type="dxa" w:w="2952"/>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2" w:lineRule="auto"/>
              <w:snapToGrid w:val="0"/>
            </w:pPr>
            <w:r>
              <w:rPr>
                <w:rFonts w:ascii="Calibri" w:hAnsi="Calibri" w:eastAsia="Microsoft YaHei"/>
                <w:b w:val="0"/>
                <w:color w:val="000000"/>
                <w:sz w:val="18"/>
              </w:rPr>
              <w:t>Standard baseline</w:t>
            </w:r>
          </w:p>
        </w:tc>
      </w:tr>
      <w:tr>
        <w:trPr>
          <w:cantSplit/>
        </w:trPr>
        <w:tc>
          <w:tcPr>
            <w:tcW w:type="dxa" w:w="3600"/>
            <w:vAlign w:val="center"/>
            <w:shd w:fill="F7F8FA"/>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2" w:lineRule="auto"/>
              <w:snapToGrid w:val="0"/>
            </w:pPr>
            <w:r>
              <w:rPr>
                <w:rFonts w:ascii="Calibri" w:hAnsi="Calibri" w:eastAsia="Microsoft YaHei"/>
                <w:b w:val="0"/>
                <w:color w:val="000000"/>
                <w:sz w:val="18"/>
              </w:rPr>
              <w:t>Original unscaled softmax</w:t>
            </w:r>
          </w:p>
        </w:tc>
        <w:tc>
          <w:tcPr>
            <w:tcW w:type="dxa" w:w="3096"/>
            <w:vAlign w:val="center"/>
            <w:shd w:fill="F7F8FA"/>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2" w:lineRule="auto"/>
              <w:snapToGrid w:val="0"/>
            </w:pPr>
            <w:r>
              <w:rPr>
                <w:rFonts w:ascii="Calibri" w:hAnsi="Calibri" w:eastAsia="Microsoft YaHei"/>
                <w:b w:val="0"/>
                <w:color w:val="000000"/>
                <w:sz w:val="18"/>
              </w:rPr>
              <w:t>[4.226511, 5.773489]</w:t>
            </w:r>
          </w:p>
        </w:tc>
        <w:tc>
          <w:tcPr>
            <w:tcW w:type="dxa" w:w="2952"/>
            <w:vAlign w:val="center"/>
            <w:shd w:fill="F7F8FA"/>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2" w:lineRule="auto"/>
              <w:snapToGrid w:val="0"/>
            </w:pPr>
            <w:r>
              <w:rPr>
                <w:rFonts w:ascii="Calibri" w:hAnsi="Calibri" w:eastAsia="Microsoft YaHei"/>
                <w:b w:val="0"/>
                <w:color w:val="000000"/>
                <w:sz w:val="18"/>
              </w:rPr>
              <w:t>Equation check only</w:t>
            </w:r>
          </w:p>
        </w:tc>
      </w:tr>
      <w:tr>
        <w:trPr>
          <w:cantSplit/>
        </w:trPr>
        <w:tc>
          <w:tcPr>
            <w:tcW w:type="dxa" w:w="3600"/>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2" w:lineRule="auto"/>
              <w:snapToGrid w:val="0"/>
            </w:pPr>
            <w:r>
              <w:rPr>
                <w:rFonts w:ascii="Calibri" w:hAnsi="Calibri" w:eastAsia="Microsoft YaHei"/>
                <w:b w:val="0"/>
                <w:color w:val="000000"/>
                <w:sz w:val="18"/>
              </w:rPr>
              <w:t>Mapped unscaled softmax</w:t>
            </w:r>
          </w:p>
        </w:tc>
        <w:tc>
          <w:tcPr>
            <w:tcW w:type="dxa" w:w="3096"/>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2" w:lineRule="auto"/>
              <w:snapToGrid w:val="0"/>
            </w:pPr>
            <w:r>
              <w:rPr>
                <w:rFonts w:ascii="Calibri" w:hAnsi="Calibri" w:eastAsia="Microsoft YaHei"/>
                <w:b w:val="0"/>
                <w:color w:val="000000"/>
                <w:sz w:val="18"/>
              </w:rPr>
              <w:t>[4.639074, 5.360926]</w:t>
            </w:r>
          </w:p>
        </w:tc>
        <w:tc>
          <w:tcPr>
            <w:tcW w:type="dxa" w:w="2952"/>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2" w:lineRule="auto"/>
              <w:snapToGrid w:val="0"/>
            </w:pPr>
            <w:r>
              <w:rPr>
                <w:rFonts w:ascii="Calibri" w:hAnsi="Calibri" w:eastAsia="Microsoft YaHei"/>
                <w:b w:val="0"/>
                <w:color w:val="000000"/>
                <w:sz w:val="18"/>
              </w:rPr>
              <w:t>Matches reported value</w:t>
            </w:r>
          </w:p>
        </w:tc>
      </w:tr>
      <w:tr>
        <w:trPr>
          <w:cantSplit/>
        </w:trPr>
        <w:tc>
          <w:tcPr>
            <w:tcW w:type="dxa" w:w="3600"/>
            <w:vAlign w:val="center"/>
            <w:shd w:fill="F7F8FA"/>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2" w:lineRule="auto"/>
              <w:snapToGrid w:val="0"/>
            </w:pPr>
            <w:r>
              <w:rPr>
                <w:rFonts w:ascii="Calibri" w:hAnsi="Calibri" w:eastAsia="Microsoft YaHei"/>
                <w:b w:val="0"/>
                <w:color w:val="000000"/>
                <w:sz w:val="18"/>
              </w:rPr>
              <w:t>Normalized linear attention</w:t>
            </w:r>
          </w:p>
        </w:tc>
        <w:tc>
          <w:tcPr>
            <w:tcW w:type="dxa" w:w="3096"/>
            <w:vAlign w:val="center"/>
            <w:shd w:fill="F7F8FA"/>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2" w:lineRule="auto"/>
              <w:snapToGrid w:val="0"/>
            </w:pPr>
            <w:r>
              <w:rPr>
                <w:rFonts w:ascii="Calibri" w:hAnsi="Calibri" w:eastAsia="Microsoft YaHei"/>
                <w:b w:val="0"/>
                <w:color w:val="000000"/>
                <w:sz w:val="18"/>
              </w:rPr>
              <w:t>[4.8, 5.2]</w:t>
            </w:r>
          </w:p>
        </w:tc>
        <w:tc>
          <w:tcPr>
            <w:tcW w:type="dxa" w:w="2952"/>
            <w:vAlign w:val="center"/>
            <w:shd w:fill="F7F8FA"/>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2" w:lineRule="auto"/>
              <w:snapToGrid w:val="0"/>
            </w:pPr>
            <w:r>
              <w:rPr>
                <w:rFonts w:ascii="Calibri" w:hAnsi="Calibri" w:eastAsia="Microsoft YaHei"/>
                <w:b w:val="0"/>
                <w:color w:val="000000"/>
                <w:sz w:val="18"/>
              </w:rPr>
              <w:t>Specified method</w:t>
            </w:r>
          </w:p>
        </w:tc>
      </w:tr>
    </w:tbl>
    <w:p>
      <w:pPr>
        <w:spacing w:after="0"/>
        <w:snapToGrid w:val="0"/>
      </w:pPr>
    </w:p>
    <w:p>
      <w:pPr>
        <w:snapToGrid w:val="0"/>
      </w:pPr>
      <w:r>
        <w:rPr>
          <w:rFonts w:ascii="Calibri" w:hAnsi="Calibri" w:eastAsia="Microsoft YaHei"/>
          <w:color w:val="000000"/>
        </w:rPr>
        <w:t>The second row swaps the first row components; the third is [5,5]. These are deterministic recalculations, not performance results. The proposal’s linear intermediate state, denominator, and output are internally consistent.</w:t>
      </w:r>
    </w:p>
    <w:p>
      <w:pPr>
        <w:pStyle w:val="Heading2"/>
        <w:snapToGrid w:val="0"/>
      </w:pPr>
      <w:r>
        <w:rPr>
          <w:rFonts w:ascii="Calibri" w:hAnsi="Calibri" w:eastAsia="Microsoft YaHei"/>
          <w:color w:val="000000"/>
        </w:rPr>
        <w:t>5 Limits of associativity</w:t>
      </w:r>
    </w:p>
    <w:p>
      <w:pPr>
        <w:snapToGrid w:val="0"/>
      </w:pPr>
      <w:r>
        <w:rPr>
          <w:rFonts w:ascii="Calibri" w:hAnsi="Calibri" w:eastAsia="Microsoft YaHei"/>
          <w:color w:val="000000"/>
        </w:rPr>
        <w:t>(QK^T)V=Q(K^TV), but softmax(QK^T)V cannot be reordered this way. The linear path computes φ(Q)(φ(K)^TV), divided by φ(Q)(φ(K)^T1). Each query has a scalar denominator broadcast across value dimensions.</w:t>
      </w:r>
    </w:p>
    <w:p>
      <w:pPr>
        <w:snapToGrid w:val="0"/>
      </w:pPr>
      <w:r>
        <w:rPr>
          <w:rFonts w:ascii="Calibri" w:hAnsi="Calibri" w:eastAsia="Microsoft YaHei"/>
          <w:color w:val="000000"/>
        </w:rPr>
        <w:t>Verify two distinct claims: the explicit and reordered computations for the same kernel should agree numerically; that kernel and softmax generally produce different outputs. ReLU+1 does not by itself establish an accurate softmax approximation.</w:t>
      </w:r>
    </w:p>
    <w:p>
      <w:pPr>
        <w:pStyle w:val="Heading2"/>
        <w:snapToGrid w:val="0"/>
      </w:pPr>
      <w:r>
        <w:rPr>
          <w:rFonts w:ascii="Calibri" w:hAnsi="Calibri" w:eastAsia="Microsoft YaHei"/>
          <w:color w:val="000000"/>
        </w:rPr>
        <w:t>6 Complexity scope</w:t>
      </w:r>
    </w:p>
    <w:p>
      <w:pPr>
        <w:snapToGrid w:val="0"/>
      </w:pPr>
      <w:r>
        <w:rPr>
          <w:rFonts w:ascii="Calibri" w:hAnsi="Calibri" w:eastAsia="Microsoft YaHei"/>
          <w:color w:val="000000"/>
        </w:rPr>
        <w:t>For feature dimension r and value dimension d_v, the compact state is r×d_v and major reordered computation is approximately O(N r d_v), plus feature-mapping cost. Linear refers to N with dimensions fixed; it does not imply superiority for every dimension or implementation.</w:t>
      </w:r>
    </w:p>
    <w:p>
      <w:pPr>
        <w:snapToGrid w:val="0"/>
      </w:pPr>
      <w:r>
        <w:rPr>
          <w:rFonts w:ascii="Calibri" w:hAnsi="Calibri" w:eastAsia="Microsoft YaHei"/>
          <w:color w:val="000000"/>
        </w:rPr>
        <w:br w:type="page"/>
      </w:r>
    </w:p>
    <w:p>
      <w:pPr>
        <w:pStyle w:val="Heading1"/>
        <w:snapToGrid w:val="0"/>
      </w:pPr>
      <w:r>
        <w:rPr>
          <w:rFonts w:ascii="Calibri" w:hAnsi="Calibri" w:eastAsia="Microsoft YaHei"/>
          <w:color w:val="000000"/>
        </w:rPr>
        <w:t>Team 3 Do Correctness and Implementation</w:t>
      </w:r>
    </w:p>
    <w:p>
      <w:pPr>
        <w:pStyle w:val="Heading2"/>
        <w:snapToGrid w:val="0"/>
      </w:pPr>
      <w:r>
        <w:rPr>
          <w:rFonts w:ascii="Calibri" w:hAnsi="Calibri" w:eastAsia="Microsoft YaHei"/>
          <w:color w:val="000000"/>
        </w:rPr>
        <w:t>7 Three implementation paths</w:t>
      </w:r>
    </w:p>
    <w:tbl>
      <w:tblPr>
        <w:tblW w:type="auto" w:w="0"/>
        <w:tblLayout w:type="fixed"/>
        <w:tblLook w:firstColumn="1" w:firstRow="1" w:lastColumn="0" w:lastRow="0" w:noHBand="0" w:noVBand="1" w:val="04A0"/>
      </w:tblPr>
      <w:tblGrid>
        <w:gridCol w:w="1656"/>
        <w:gridCol w:w="4968"/>
        <w:gridCol w:w="3024"/>
      </w:tblGrid>
      <w:tr>
        <w:trPr>
          <w:cantSplit/>
          <w:tblHeader/>
        </w:trPr>
        <w:tc>
          <w:tcPr>
            <w:tcW w:type="dxa" w:w="1656"/>
            <w:vAlign w:val="center"/>
            <w:shd w:fill="E8EEF4"/>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2" w:lineRule="auto"/>
              <w:snapToGrid w:val="0"/>
            </w:pPr>
            <w:r>
              <w:rPr>
                <w:rFonts w:ascii="Calibri" w:hAnsi="Calibri" w:eastAsia="Microsoft YaHei"/>
                <w:b/>
                <w:color w:val="000000"/>
                <w:sz w:val="18"/>
              </w:rPr>
              <w:t>Path</w:t>
            </w:r>
          </w:p>
        </w:tc>
        <w:tc>
          <w:tcPr>
            <w:tcW w:type="dxa" w:w="4968"/>
            <w:vAlign w:val="center"/>
            <w:shd w:fill="E8EEF4"/>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2" w:lineRule="auto"/>
              <w:snapToGrid w:val="0"/>
            </w:pPr>
            <w:r>
              <w:rPr>
                <w:rFonts w:ascii="Calibri" w:hAnsi="Calibri" w:eastAsia="Microsoft YaHei"/>
                <w:b/>
                <w:color w:val="000000"/>
                <w:sz w:val="18"/>
              </w:rPr>
              <w:t>Computation</w:t>
            </w:r>
          </w:p>
        </w:tc>
        <w:tc>
          <w:tcPr>
            <w:tcW w:type="dxa" w:w="3024"/>
            <w:vAlign w:val="center"/>
            <w:shd w:fill="E8EEF4"/>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2" w:lineRule="auto"/>
              <w:snapToGrid w:val="0"/>
            </w:pPr>
            <w:r>
              <w:rPr>
                <w:rFonts w:ascii="Calibri" w:hAnsi="Calibri" w:eastAsia="Microsoft YaHei"/>
                <w:b/>
                <w:color w:val="000000"/>
                <w:sz w:val="18"/>
              </w:rPr>
              <w:t>Purpose</w:t>
            </w:r>
          </w:p>
        </w:tc>
      </w:tr>
      <w:tr>
        <w:trPr>
          <w:cantSplit/>
        </w:trPr>
        <w:tc>
          <w:tcPr>
            <w:tcW w:type="dxa" w:w="1656"/>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2" w:lineRule="auto"/>
              <w:snapToGrid w:val="0"/>
            </w:pPr>
            <w:r>
              <w:rPr>
                <w:rFonts w:ascii="Calibri" w:hAnsi="Calibri" w:eastAsia="Microsoft YaHei"/>
                <w:b w:val="0"/>
                <w:color w:val="000000"/>
                <w:sz w:val="18"/>
              </w:rPr>
              <w:t>S Standard</w:t>
            </w:r>
          </w:p>
        </w:tc>
        <w:tc>
          <w:tcPr>
            <w:tcW w:type="dxa" w:w="4968"/>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2" w:lineRule="auto"/>
              <w:snapToGrid w:val="0"/>
            </w:pPr>
            <w:r>
              <w:rPr>
                <w:rFonts w:ascii="Calibri" w:hAnsi="Calibri" w:eastAsia="Microsoft YaHei"/>
                <w:b w:val="0"/>
                <w:color w:val="000000"/>
                <w:sz w:val="18"/>
              </w:rPr>
              <w:t>softmax(QK^T/sqrt(d_k))V</w:t>
            </w:r>
          </w:p>
        </w:tc>
        <w:tc>
          <w:tcPr>
            <w:tcW w:type="dxa" w:w="3024"/>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2" w:lineRule="auto"/>
              <w:snapToGrid w:val="0"/>
            </w:pPr>
            <w:r>
              <w:rPr>
                <w:rFonts w:ascii="Calibri" w:hAnsi="Calibri" w:eastAsia="Microsoft YaHei"/>
                <w:b w:val="0"/>
                <w:color w:val="000000"/>
                <w:sz w:val="18"/>
              </w:rPr>
              <w:t>Behavior and performance baseline</w:t>
            </w:r>
          </w:p>
        </w:tc>
      </w:tr>
      <w:tr>
        <w:trPr>
          <w:cantSplit/>
        </w:trPr>
        <w:tc>
          <w:tcPr>
            <w:tcW w:type="dxa" w:w="1656"/>
            <w:vAlign w:val="center"/>
            <w:shd w:fill="F7F8FA"/>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2" w:lineRule="auto"/>
              <w:snapToGrid w:val="0"/>
            </w:pPr>
            <w:r>
              <w:rPr>
                <w:rFonts w:ascii="Calibri" w:hAnsi="Calibri" w:eastAsia="Microsoft YaHei"/>
                <w:b w:val="0"/>
                <w:color w:val="000000"/>
                <w:sz w:val="18"/>
              </w:rPr>
              <w:t>K Explicit kernel</w:t>
            </w:r>
          </w:p>
        </w:tc>
        <w:tc>
          <w:tcPr>
            <w:tcW w:type="dxa" w:w="4968"/>
            <w:vAlign w:val="center"/>
            <w:shd w:fill="F7F8FA"/>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2" w:lineRule="auto"/>
              <w:snapToGrid w:val="0"/>
            </w:pPr>
            <w:r>
              <w:rPr>
                <w:rFonts w:ascii="Calibri" w:hAnsi="Calibri" w:eastAsia="Microsoft YaHei"/>
                <w:b w:val="0"/>
                <w:color w:val="000000"/>
                <w:sz w:val="18"/>
              </w:rPr>
              <w:t>Form φ(Q)φ(K)^T, normalize, multiply V</w:t>
            </w:r>
          </w:p>
        </w:tc>
        <w:tc>
          <w:tcPr>
            <w:tcW w:type="dxa" w:w="3024"/>
            <w:vAlign w:val="center"/>
            <w:shd w:fill="F7F8FA"/>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2" w:lineRule="auto"/>
              <w:snapToGrid w:val="0"/>
            </w:pPr>
            <w:r>
              <w:rPr>
                <w:rFonts w:ascii="Calibri" w:hAnsi="Calibri" w:eastAsia="Microsoft YaHei"/>
                <w:b w:val="0"/>
                <w:color w:val="000000"/>
                <w:sz w:val="18"/>
              </w:rPr>
              <w:t>Small-scale numerical reference</w:t>
            </w:r>
          </w:p>
        </w:tc>
      </w:tr>
      <w:tr>
        <w:trPr>
          <w:cantSplit/>
        </w:trPr>
        <w:tc>
          <w:tcPr>
            <w:tcW w:type="dxa" w:w="1656"/>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2" w:lineRule="auto"/>
              <w:snapToGrid w:val="0"/>
            </w:pPr>
            <w:r>
              <w:rPr>
                <w:rFonts w:ascii="Calibri" w:hAnsi="Calibri" w:eastAsia="Microsoft YaHei"/>
                <w:b w:val="0"/>
                <w:color w:val="000000"/>
                <w:sz w:val="18"/>
              </w:rPr>
              <w:t>L Reordered linear</w:t>
            </w:r>
          </w:p>
        </w:tc>
        <w:tc>
          <w:tcPr>
            <w:tcW w:type="dxa" w:w="4968"/>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2" w:lineRule="auto"/>
              <w:snapToGrid w:val="0"/>
            </w:pPr>
            <w:r>
              <w:rPr>
                <w:rFonts w:ascii="Calibri" w:hAnsi="Calibri" w:eastAsia="Microsoft YaHei"/>
                <w:b w:val="0"/>
                <w:color w:val="000000"/>
                <w:sz w:val="18"/>
              </w:rPr>
              <w:t>Build φ(K)^TV and φ(K)^T1, then query</w:t>
            </w:r>
          </w:p>
        </w:tc>
        <w:tc>
          <w:tcPr>
            <w:tcW w:type="dxa" w:w="3024"/>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2" w:lineRule="auto"/>
              <w:snapToGrid w:val="0"/>
            </w:pPr>
            <w:r>
              <w:rPr>
                <w:rFonts w:ascii="Calibri" w:hAnsi="Calibri" w:eastAsia="Microsoft YaHei"/>
                <w:b w:val="0"/>
                <w:color w:val="000000"/>
                <w:sz w:val="18"/>
              </w:rPr>
              <w:t>Method under evaluation</w:t>
            </w:r>
          </w:p>
        </w:tc>
      </w:tr>
    </w:tbl>
    <w:p>
      <w:pPr>
        <w:spacing w:after="0"/>
        <w:snapToGrid w:val="0"/>
      </w:pPr>
    </w:p>
    <w:p>
      <w:pPr>
        <w:snapToGrid w:val="0"/>
      </w:pPr>
      <w:r>
        <w:rPr>
          <w:rFonts w:ascii="Calibri" w:hAnsi="Calibri" w:eastAsia="Microsoft YaHei"/>
          <w:color w:val="000000"/>
        </w:rPr>
        <w:t>Use K only for small correctness checks. Do not secretly construct an N×N matrix inside L during timing or large runs. K and L should agree within floating-point tolerance. Differences between S and L reflect the kernel change.</w:t>
      </w:r>
    </w:p>
    <w:p>
      <w:pPr>
        <w:pStyle w:val="Heading2"/>
        <w:snapToGrid w:val="0"/>
      </w:pPr>
      <w:r>
        <w:rPr>
          <w:rFonts w:ascii="Calibri" w:hAnsi="Calibri" w:eastAsia="Microsoft YaHei"/>
          <w:color w:val="000000"/>
        </w:rPr>
        <w:t>8 Unit checks</w:t>
      </w:r>
    </w:p>
    <w:p>
      <w:pPr>
        <w:pStyle w:val="ListBullet"/>
        <w:snapToGrid w:val="0"/>
      </w:pPr>
      <w:r>
        <w:rPr>
          <w:rFonts w:ascii="Calibri" w:hAnsi="Calibri" w:eastAsia="Microsoft YaHei"/>
          <w:color w:val="000000"/>
        </w:rPr>
        <w:t>Reproduce the three-token case in high precision, then check the benchmark dtype. Set tolerances appropriate to precision and scale; report absolute and relative errors.</w:t>
      </w:r>
    </w:p>
    <w:p>
      <w:pPr>
        <w:pStyle w:val="ListBullet"/>
        <w:snapToGrid w:val="0"/>
      </w:pPr>
      <w:r>
        <w:rPr>
          <w:rFonts w:ascii="Calibri" w:hAnsi="Calibri" w:eastAsia="Microsoft YaHei"/>
          <w:color w:val="000000"/>
        </w:rPr>
        <w:t>Test random, zero, negative, and single-token inputs, plus different value dimensions. Check denominator shapes, broadcasting, NaNs, and infinities.</w:t>
      </w:r>
    </w:p>
    <w:p>
      <w:pPr>
        <w:pStyle w:val="ListBullet"/>
        <w:snapToGrid w:val="0"/>
      </w:pPr>
      <w:r>
        <w:rPr>
          <w:rFonts w:ascii="Calibri" w:hAnsi="Calibri" w:eastAsia="Microsoft YaHei"/>
          <w:color w:val="000000"/>
        </w:rPr>
        <w:t>Record epsilon and where it is applied. ReLU+1 gives positive features for finite inputs, but other maps and low precision need stability checks.</w:t>
      </w:r>
    </w:p>
    <w:p>
      <w:pPr>
        <w:pStyle w:val="ListBullet"/>
        <w:snapToGrid w:val="0"/>
      </w:pPr>
      <w:r>
        <w:rPr>
          <w:rFonts w:ascii="Calibri" w:hAnsi="Calibri" w:eastAsia="Microsoft YaHei"/>
          <w:color w:val="000000"/>
        </w:rPr>
        <w:t>Match masks, dropout, batch size, heads, dtype, and device. Complete noncausal attention first; treat causal attention as a separate experiment.</w:t>
      </w:r>
    </w:p>
    <w:p>
      <w:pPr>
        <w:pStyle w:val="Heading2"/>
        <w:snapToGrid w:val="0"/>
      </w:pPr>
      <w:r>
        <w:rPr>
          <w:rFonts w:ascii="Calibri" w:hAnsi="Calibri" w:eastAsia="Microsoft YaHei"/>
          <w:color w:val="000000"/>
        </w:rPr>
        <w:t>9 Causal extension</w:t>
      </w:r>
    </w:p>
    <w:p>
      <w:pPr>
        <w:snapToGrid w:val="0"/>
      </w:pPr>
      <w:r>
        <w:rPr>
          <w:rFonts w:ascii="Calibri" w:hAnsi="Calibri" w:eastAsia="Microsoft YaHei"/>
          <w:color w:val="000000"/>
        </w:rPr>
        <w:t>Autoregressive linear states must accumulate only current and earlier keys and values. Full-sequence K^TV leaks future information. Test that changing future values cannot alter earlier outputs. Report prefill and token-by-token decoding separately.</w:t>
      </w:r>
    </w:p>
    <w:p>
      <w:pPr>
        <w:pStyle w:val="Heading2"/>
        <w:snapToGrid w:val="0"/>
      </w:pPr>
      <w:r>
        <w:rPr>
          <w:rFonts w:ascii="Calibri" w:hAnsi="Calibri" w:eastAsia="Microsoft YaHei"/>
          <w:color w:val="000000"/>
        </w:rPr>
        <w:t>10 Implementation record</w:t>
      </w:r>
    </w:p>
    <w:p>
      <w:pPr>
        <w:snapToGrid w:val="0"/>
      </w:pPr>
      <w:r>
        <w:rPr>
          <w:rFonts w:ascii="Calibri" w:hAnsi="Calibri" w:eastAsia="Microsoft YaHei"/>
          <w:color w:val="000000"/>
        </w:rPr>
        <w:t>Record framework, library and compiler versions, CPU/GPU, precision, compilation, mixed precision, and gradient mode. For optimized attention, save the backend actually selected; masks or dtype may trigger fallback.</w:t>
      </w:r>
    </w:p>
    <w:p>
      <w:pPr>
        <w:snapToGrid w:val="0"/>
      </w:pPr>
      <w:r>
        <w:rPr>
          <w:rFonts w:ascii="Calibri" w:hAnsi="Calibri" w:eastAsia="Microsoft YaHei"/>
          <w:color w:val="000000"/>
        </w:rPr>
        <w:t>A clearly named naive baseline is acceptable initially. Engineering superiority claims should later include supported optimized exact attention. FlashAttention reduces intermediate memory while retaining exact attention, so avoiding a stored full matrix is not unique to linear attention.</w:t>
      </w:r>
    </w:p>
    <w:p>
      <w:pPr>
        <w:snapToGrid w:val="0"/>
      </w:pPr>
      <w:r>
        <w:rPr>
          <w:rFonts w:ascii="Calibri" w:hAnsi="Calibri" w:eastAsia="Microsoft YaHei"/>
          <w:color w:val="000000"/>
        </w:rPr>
        <w:br w:type="page"/>
      </w:r>
    </w:p>
    <w:p>
      <w:pPr>
        <w:pStyle w:val="Heading1"/>
        <w:snapToGrid w:val="0"/>
      </w:pPr>
      <w:r>
        <w:rPr>
          <w:rFonts w:ascii="Calibri" w:hAnsi="Calibri" w:eastAsia="Microsoft YaHei"/>
          <w:color w:val="000000"/>
        </w:rPr>
        <w:t>Team 3 Do Performance and Retrieval</w:t>
      </w:r>
    </w:p>
    <w:p>
      <w:pPr>
        <w:pStyle w:val="Heading2"/>
        <w:snapToGrid w:val="0"/>
      </w:pPr>
      <w:r>
        <w:rPr>
          <w:rFonts w:ascii="Calibri" w:hAnsi="Calibri" w:eastAsia="Microsoft YaHei"/>
          <w:color w:val="000000"/>
        </w:rPr>
        <w:t>11 Efficiency experiment</w:t>
      </w:r>
    </w:p>
    <w:p>
      <w:pPr>
        <w:snapToGrid w:val="0"/>
      </w:pPr>
      <w:r>
        <w:rPr>
          <w:rFonts w:ascii="Calibri" w:hAnsi="Calibri" w:eastAsia="Microsoft YaHei"/>
          <w:color w:val="000000"/>
        </w:rPr>
        <w:t>Start with N=64, 256, 512, and 1024. Increase geometrically if hardware permits until reaching relevant lengths or out-of-memory limits. Fix batch size, heads, d_k, d_v, r, and precision. Exclude input generation, transfers, and validation from timing unless explicitly measuring an end-to-end pipeline.</w:t>
      </w:r>
    </w:p>
    <w:p>
      <w:pPr>
        <w:snapToGrid w:val="0"/>
      </w:pPr>
      <w:r>
        <w:rPr>
          <w:rFonts w:ascii="Calibri" w:hAnsi="Calibri" w:eastAsia="Microsoft YaHei"/>
          <w:color w:val="000000"/>
        </w:rPr>
        <w:t>Warm up each path, repeat timings, and report medians, quantiles, and counts. Use GPU events or boundary synchronization to measure execution rather than asynchronous submission. Report compilation and startup separately. Interleave methods to reduce thermal and background-load effects.</w:t>
      </w:r>
    </w:p>
    <w:p>
      <w:pPr>
        <w:snapToGrid w:val="0"/>
      </w:pPr>
      <w:r>
        <w:rPr>
          <w:rFonts w:ascii="Calibri" w:hAnsi="Calibri" w:eastAsia="Microsoft YaHei"/>
          <w:color w:val="000000"/>
        </w:rPr>
        <w:t>Measure peak memory separately per method. State allocated, reserved, or process memory; define baseline, peak reset, and whether inputs/outputs are included. A fixed-size state does not make the whole workload constant-memory because inputs and outputs still grow with N.</w:t>
      </w:r>
    </w:p>
    <w:p>
      <w:pPr>
        <w:pStyle w:val="Heading2"/>
        <w:snapToGrid w:val="0"/>
      </w:pPr>
      <w:r>
        <w:rPr>
          <w:rFonts w:ascii="Calibri" w:hAnsi="Calibri" w:eastAsia="Microsoft YaHei"/>
          <w:color w:val="000000"/>
        </w:rPr>
        <w:t>12 Output deviation</w:t>
      </w:r>
    </w:p>
    <w:p>
      <w:pPr>
        <w:snapToGrid w:val="0"/>
      </w:pPr>
      <w:r>
        <w:rPr>
          <w:rFonts w:ascii="Calibri" w:hAnsi="Calibri" w:eastAsia="Microsoft YaHei"/>
          <w:color w:val="000000"/>
        </w:rPr>
        <w:t>For identical Q, K, and V, calculate relative Frobenius error between L and S, with a documented safeguard for near-zero reference norms. Cover predefined input scales, seeds, and lengths. Output similarity is not downstream task quality.</w:t>
      </w:r>
    </w:p>
    <w:p>
      <w:pPr>
        <w:pStyle w:val="Heading2"/>
        <w:snapToGrid w:val="0"/>
      </w:pPr>
      <w:r>
        <w:rPr>
          <w:rFonts w:ascii="Calibri" w:hAnsi="Calibri" w:eastAsia="Microsoft YaHei"/>
          <w:color w:val="000000"/>
        </w:rPr>
        <w:t>13 Key-value retrieval with distractors</w:t>
      </w:r>
    </w:p>
    <w:p>
      <w:pPr>
        <w:snapToGrid w:val="0"/>
      </w:pPr>
      <w:r>
        <w:rPr>
          <w:rFonts w:ascii="Calibri" w:hAnsi="Calibri" w:eastAsia="Microsoft YaHei"/>
          <w:color w:val="000000"/>
        </w:rPr>
        <w:t>Generate distinguishable keys bound to values. A query targets one key, optionally with predefined noise; add distractors as N grows. Both methods receive identical inputs and use the same fixed decoding rule to identify the retrieved value.</w:t>
      </w:r>
    </w:p>
    <w:p>
      <w:pPr>
        <w:snapToGrid w:val="0"/>
      </w:pPr>
      <w:r>
        <w:rPr>
          <w:rFonts w:ascii="Calibri" w:hAnsi="Calibri" w:eastAsia="Microsoft YaHei"/>
          <w:color w:val="000000"/>
        </w:rPr>
        <w:t>Use fixed-dimensional class codes with balanced classes, or fixed-dimensional random codes and nearest-neighbor decoding. Do not default to N-dimensional one-hot values: increasing d_v with N violates the fixed-dimension scaling comparison. Record collisions and decoding limits.</w:t>
      </w:r>
    </w:p>
    <w:p>
      <w:pPr>
        <w:snapToGrid w:val="0"/>
      </w:pPr>
      <w:r>
        <w:rPr>
          <w:rFonts w:ascii="Calibri" w:hAnsi="Calibri" w:eastAsia="Microsoft YaHei"/>
          <w:color w:val="000000"/>
        </w:rPr>
        <w:t>Fix or systematically vary query/key norms and signal strength. Small random logits can make softmax retrieval poor too. Establish that the standard baseline can solve the intended task before interpreting relative quality.</w:t>
      </w:r>
    </w:p>
    <w:p>
      <w:pPr>
        <w:pStyle w:val="Heading2"/>
        <w:snapToGrid w:val="0"/>
      </w:pPr>
      <w:r>
        <w:rPr>
          <w:rFonts w:ascii="Calibri" w:hAnsi="Calibri" w:eastAsia="Microsoft YaHei"/>
          <w:color w:val="000000"/>
        </w:rPr>
        <w:t>14 Meaning of long-range retrieval</w:t>
      </w:r>
    </w:p>
    <w:p>
      <w:pPr>
        <w:snapToGrid w:val="0"/>
      </w:pPr>
      <w:r>
        <w:rPr>
          <w:rFonts w:ascii="Calibri" w:hAnsi="Calibri" w:eastAsia="Microsoft YaHei"/>
          <w:color w:val="000000"/>
        </w:rPr>
        <w:t>Noncausal attention without positional encoding has the corresponding permutation behavior. Merely moving a target farther away does not test long-range memory. Define positional encoding or a causal accumulation task, and control distance separately from distractor count.</w:t>
      </w:r>
    </w:p>
    <w:p>
      <w:pPr>
        <w:snapToGrid w:val="0"/>
      </w:pPr>
      <w:r>
        <w:rPr>
          <w:rFonts w:ascii="Calibri" w:hAnsi="Calibri" w:eastAsia="Microsoft YaHei"/>
          <w:color w:val="000000"/>
        </w:rPr>
        <w:br w:type="page"/>
      </w:r>
    </w:p>
    <w:p>
      <w:pPr>
        <w:pStyle w:val="Heading1"/>
        <w:snapToGrid w:val="0"/>
      </w:pPr>
      <w:r>
        <w:rPr>
          <w:rFonts w:ascii="Calibri" w:hAnsi="Calibri" w:eastAsia="Microsoft YaHei"/>
          <w:color w:val="000000"/>
        </w:rPr>
        <w:t>Team 3 Check Metrics and Decisions</w:t>
      </w:r>
    </w:p>
    <w:p>
      <w:pPr>
        <w:pStyle w:val="Heading2"/>
        <w:snapToGrid w:val="0"/>
      </w:pPr>
      <w:r>
        <w:rPr>
          <w:rFonts w:ascii="Calibri" w:hAnsi="Calibri" w:eastAsia="Microsoft YaHei"/>
          <w:color w:val="000000"/>
        </w:rPr>
        <w:t>15 Experiment matrix</w:t>
      </w:r>
    </w:p>
    <w:tbl>
      <w:tblPr>
        <w:tblW w:type="auto" w:w="0"/>
        <w:tblLayout w:type="fixed"/>
        <w:tblLook w:firstColumn="1" w:firstRow="1" w:lastColumn="0" w:lastRow="0" w:noHBand="0" w:noVBand="1" w:val="04A0"/>
      </w:tblPr>
      <w:tblGrid>
        <w:gridCol w:w="2088"/>
        <w:gridCol w:w="4176"/>
        <w:gridCol w:w="3384"/>
      </w:tblGrid>
      <w:tr>
        <w:trPr>
          <w:cantSplit/>
          <w:tblHeader/>
        </w:trPr>
        <w:tc>
          <w:tcPr>
            <w:tcW w:type="dxa" w:w="2088"/>
            <w:vAlign w:val="center"/>
            <w:shd w:fill="E8EEF4"/>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2" w:lineRule="auto"/>
              <w:snapToGrid w:val="0"/>
            </w:pPr>
            <w:r>
              <w:rPr>
                <w:rFonts w:ascii="Calibri" w:hAnsi="Calibri" w:eastAsia="Microsoft YaHei"/>
                <w:b/>
                <w:color w:val="000000"/>
                <w:sz w:val="18"/>
              </w:rPr>
              <w:t>Factor</w:t>
            </w:r>
          </w:p>
        </w:tc>
        <w:tc>
          <w:tcPr>
            <w:tcW w:type="dxa" w:w="4176"/>
            <w:vAlign w:val="center"/>
            <w:shd w:fill="E8EEF4"/>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2" w:lineRule="auto"/>
              <w:snapToGrid w:val="0"/>
            </w:pPr>
            <w:r>
              <w:rPr>
                <w:rFonts w:ascii="Calibri" w:hAnsi="Calibri" w:eastAsia="Microsoft YaHei"/>
                <w:b/>
                <w:color w:val="000000"/>
                <w:sz w:val="18"/>
              </w:rPr>
              <w:t>Design</w:t>
            </w:r>
          </w:p>
        </w:tc>
        <w:tc>
          <w:tcPr>
            <w:tcW w:type="dxa" w:w="3384"/>
            <w:vAlign w:val="center"/>
            <w:shd w:fill="E8EEF4"/>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2" w:lineRule="auto"/>
              <w:snapToGrid w:val="0"/>
            </w:pPr>
            <w:r>
              <w:rPr>
                <w:rFonts w:ascii="Calibri" w:hAnsi="Calibri" w:eastAsia="Microsoft YaHei"/>
                <w:b/>
                <w:color w:val="000000"/>
                <w:sz w:val="18"/>
              </w:rPr>
              <w:t>Record</w:t>
            </w:r>
          </w:p>
        </w:tc>
      </w:tr>
      <w:tr>
        <w:trPr>
          <w:cantSplit/>
        </w:trPr>
        <w:tc>
          <w:tcPr>
            <w:tcW w:type="dxa" w:w="2088"/>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2" w:lineRule="auto"/>
              <w:snapToGrid w:val="0"/>
            </w:pPr>
            <w:r>
              <w:rPr>
                <w:rFonts w:ascii="Calibri" w:hAnsi="Calibri" w:eastAsia="Microsoft YaHei"/>
                <w:b w:val="0"/>
                <w:color w:val="000000"/>
                <w:sz w:val="18"/>
              </w:rPr>
              <w:t>Sequence length</w:t>
            </w:r>
          </w:p>
        </w:tc>
        <w:tc>
          <w:tcPr>
            <w:tcW w:type="dxa" w:w="4176"/>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2" w:lineRule="auto"/>
              <w:snapToGrid w:val="0"/>
            </w:pPr>
            <w:r>
              <w:rPr>
                <w:rFonts w:ascii="Calibri" w:hAnsi="Calibri" w:eastAsia="Microsoft YaHei"/>
                <w:b w:val="0"/>
                <w:color w:val="000000"/>
                <w:sz w:val="18"/>
              </w:rPr>
              <w:t>Increase in predefined groups</w:t>
            </w:r>
          </w:p>
        </w:tc>
        <w:tc>
          <w:tcPr>
            <w:tcW w:type="dxa" w:w="3384"/>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2" w:lineRule="auto"/>
              <w:snapToGrid w:val="0"/>
            </w:pPr>
            <w:r>
              <w:rPr>
                <w:rFonts w:ascii="Calibri" w:hAnsi="Calibri" w:eastAsia="Microsoft YaHei"/>
                <w:b w:val="0"/>
                <w:color w:val="000000"/>
                <w:sz w:val="18"/>
              </w:rPr>
              <w:t>Include OOM and unrun points</w:t>
            </w:r>
          </w:p>
        </w:tc>
      </w:tr>
      <w:tr>
        <w:trPr>
          <w:cantSplit/>
        </w:trPr>
        <w:tc>
          <w:tcPr>
            <w:tcW w:type="dxa" w:w="2088"/>
            <w:vAlign w:val="center"/>
            <w:shd w:fill="F7F8FA"/>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2" w:lineRule="auto"/>
              <w:snapToGrid w:val="0"/>
            </w:pPr>
            <w:r>
              <w:rPr>
                <w:rFonts w:ascii="Calibri" w:hAnsi="Calibri" w:eastAsia="Microsoft YaHei"/>
                <w:b w:val="0"/>
                <w:color w:val="000000"/>
                <w:sz w:val="18"/>
              </w:rPr>
              <w:t>Feature dimension r</w:t>
            </w:r>
          </w:p>
        </w:tc>
        <w:tc>
          <w:tcPr>
            <w:tcW w:type="dxa" w:w="4176"/>
            <w:vAlign w:val="center"/>
            <w:shd w:fill="F7F8FA"/>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2" w:lineRule="auto"/>
              <w:snapToGrid w:val="0"/>
            </w:pPr>
            <w:r>
              <w:rPr>
                <w:rFonts w:ascii="Calibri" w:hAnsi="Calibri" w:eastAsia="Microsoft YaHei"/>
                <w:b w:val="0"/>
                <w:color w:val="000000"/>
                <w:sz w:val="18"/>
              </w:rPr>
              <w:t>Fixed initially; separate sweep later</w:t>
            </w:r>
          </w:p>
        </w:tc>
        <w:tc>
          <w:tcPr>
            <w:tcW w:type="dxa" w:w="3384"/>
            <w:vAlign w:val="center"/>
            <w:shd w:fill="F7F8FA"/>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2" w:lineRule="auto"/>
              <w:snapToGrid w:val="0"/>
            </w:pPr>
            <w:r>
              <w:rPr>
                <w:rFonts w:ascii="Calibri" w:hAnsi="Calibri" w:eastAsia="Microsoft YaHei"/>
                <w:b w:val="0"/>
                <w:color w:val="000000"/>
                <w:sz w:val="18"/>
              </w:rPr>
              <w:t>Include mapping and state costs</w:t>
            </w:r>
          </w:p>
        </w:tc>
      </w:tr>
      <w:tr>
        <w:trPr>
          <w:cantSplit/>
        </w:trPr>
        <w:tc>
          <w:tcPr>
            <w:tcW w:type="dxa" w:w="2088"/>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2" w:lineRule="auto"/>
              <w:snapToGrid w:val="0"/>
            </w:pPr>
            <w:r>
              <w:rPr>
                <w:rFonts w:ascii="Calibri" w:hAnsi="Calibri" w:eastAsia="Microsoft YaHei"/>
                <w:b w:val="0"/>
                <w:color w:val="000000"/>
                <w:sz w:val="18"/>
              </w:rPr>
              <w:t>Input distribution</w:t>
            </w:r>
          </w:p>
        </w:tc>
        <w:tc>
          <w:tcPr>
            <w:tcW w:type="dxa" w:w="4176"/>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2" w:lineRule="auto"/>
              <w:snapToGrid w:val="0"/>
            </w:pPr>
            <w:r>
              <w:rPr>
                <w:rFonts w:ascii="Calibri" w:hAnsi="Calibri" w:eastAsia="Microsoft YaHei"/>
                <w:b w:val="0"/>
                <w:color w:val="000000"/>
                <w:sz w:val="18"/>
              </w:rPr>
              <w:t>Predefined scales and conditions</w:t>
            </w:r>
          </w:p>
        </w:tc>
        <w:tc>
          <w:tcPr>
            <w:tcW w:type="dxa" w:w="3384"/>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2" w:lineRule="auto"/>
              <w:snapToGrid w:val="0"/>
            </w:pPr>
            <w:r>
              <w:rPr>
                <w:rFonts w:ascii="Calibri" w:hAnsi="Calibri" w:eastAsia="Microsoft YaHei"/>
                <w:b w:val="0"/>
                <w:color w:val="000000"/>
                <w:sz w:val="18"/>
              </w:rPr>
              <w:t>Share inputs across methods</w:t>
            </w:r>
          </w:p>
        </w:tc>
      </w:tr>
      <w:tr>
        <w:trPr>
          <w:cantSplit/>
        </w:trPr>
        <w:tc>
          <w:tcPr>
            <w:tcW w:type="dxa" w:w="2088"/>
            <w:vAlign w:val="center"/>
            <w:shd w:fill="F7F8FA"/>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2" w:lineRule="auto"/>
              <w:snapToGrid w:val="0"/>
            </w:pPr>
            <w:r>
              <w:rPr>
                <w:rFonts w:ascii="Calibri" w:hAnsi="Calibri" w:eastAsia="Microsoft YaHei"/>
                <w:b w:val="0"/>
                <w:color w:val="000000"/>
                <w:sz w:val="18"/>
              </w:rPr>
              <w:t>Random seeds</w:t>
            </w:r>
          </w:p>
        </w:tc>
        <w:tc>
          <w:tcPr>
            <w:tcW w:type="dxa" w:w="4176"/>
            <w:vAlign w:val="center"/>
            <w:shd w:fill="F7F8FA"/>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2" w:lineRule="auto"/>
              <w:snapToGrid w:val="0"/>
            </w:pPr>
            <w:r>
              <w:rPr>
                <w:rFonts w:ascii="Calibri" w:hAnsi="Calibri" w:eastAsia="Microsoft YaHei"/>
                <w:b w:val="0"/>
                <w:color w:val="000000"/>
                <w:sz w:val="18"/>
              </w:rPr>
              <w:t>Prefer at least five; expand as needed</w:t>
            </w:r>
          </w:p>
        </w:tc>
        <w:tc>
          <w:tcPr>
            <w:tcW w:type="dxa" w:w="3384"/>
            <w:vAlign w:val="center"/>
            <w:shd w:fill="F7F8FA"/>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2" w:lineRule="auto"/>
              <w:snapToGrid w:val="0"/>
            </w:pPr>
            <w:r>
              <w:rPr>
                <w:rFonts w:ascii="Calibri" w:hAnsi="Calibri" w:eastAsia="Microsoft YaHei"/>
                <w:b w:val="0"/>
                <w:color w:val="000000"/>
                <w:sz w:val="18"/>
              </w:rPr>
              <w:t>Preserve seed-level results</w:t>
            </w:r>
          </w:p>
        </w:tc>
      </w:tr>
      <w:tr>
        <w:trPr>
          <w:cantSplit/>
        </w:trPr>
        <w:tc>
          <w:tcPr>
            <w:tcW w:type="dxa" w:w="2088"/>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2" w:lineRule="auto"/>
              <w:snapToGrid w:val="0"/>
            </w:pPr>
            <w:r>
              <w:rPr>
                <w:rFonts w:ascii="Calibri" w:hAnsi="Calibri" w:eastAsia="Microsoft YaHei"/>
                <w:b w:val="0"/>
                <w:color w:val="000000"/>
                <w:sz w:val="18"/>
              </w:rPr>
              <w:t>Baseline implementation</w:t>
            </w:r>
          </w:p>
        </w:tc>
        <w:tc>
          <w:tcPr>
            <w:tcW w:type="dxa" w:w="4176"/>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2" w:lineRule="auto"/>
              <w:snapToGrid w:val="0"/>
            </w:pPr>
            <w:r>
              <w:rPr>
                <w:rFonts w:ascii="Calibri" w:hAnsi="Calibri" w:eastAsia="Microsoft YaHei"/>
                <w:b w:val="0"/>
                <w:color w:val="000000"/>
                <w:sz w:val="18"/>
              </w:rPr>
              <w:t>Name naive and optimized separately</w:t>
            </w:r>
          </w:p>
        </w:tc>
        <w:tc>
          <w:tcPr>
            <w:tcW w:type="dxa" w:w="3384"/>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2" w:lineRule="auto"/>
              <w:snapToGrid w:val="0"/>
            </w:pPr>
            <w:r>
              <w:rPr>
                <w:rFonts w:ascii="Calibri" w:hAnsi="Calibri" w:eastAsia="Microsoft YaHei"/>
                <w:b w:val="0"/>
                <w:color w:val="000000"/>
                <w:sz w:val="18"/>
              </w:rPr>
              <w:t>Backend and version</w:t>
            </w:r>
          </w:p>
        </w:tc>
      </w:tr>
    </w:tbl>
    <w:p>
      <w:pPr>
        <w:spacing w:after="0"/>
        <w:snapToGrid w:val="0"/>
      </w:pPr>
    </w:p>
    <w:p>
      <w:pPr>
        <w:pStyle w:val="Heading2"/>
        <w:snapToGrid w:val="0"/>
      </w:pPr>
      <w:r>
        <w:rPr>
          <w:rFonts w:ascii="Calibri" w:hAnsi="Calibri" w:eastAsia="Microsoft YaHei"/>
          <w:color w:val="000000"/>
        </w:rPr>
        <w:t>16 Primary metrics</w:t>
      </w:r>
    </w:p>
    <w:p>
      <w:pPr>
        <w:snapToGrid w:val="0"/>
      </w:pPr>
      <w:r>
        <w:rPr>
          <w:rFonts w:ascii="Calibri" w:hAnsi="Calibri" w:eastAsia="Microsoft YaHei"/>
          <w:color w:val="000000"/>
        </w:rPr>
        <w:t>Report latency, speedup=softmax_time/linear_time, peak memory, and failure lengths. Report retrieval accuracy differences, relative output errors, and uncertainty. Keep theoretical operations separate from observed time; O(N) is not a measured millisecond saving.</w:t>
      </w:r>
    </w:p>
    <w:p>
      <w:pPr>
        <w:snapToGrid w:val="0"/>
      </w:pPr>
      <w:r>
        <w:rPr>
          <w:rFonts w:ascii="Calibri" w:hAnsi="Calibri" w:eastAsia="Microsoft YaHei"/>
          <w:color w:val="000000"/>
        </w:rPr>
        <w:t>Repeated timings quantify performance noise; independently generated retrieval tasks quantify quality uncertainty. Do not treat these as interchangeable samples. Use paired quality differences and intervals on shared tasks, resampling at the independent generation unit when repetitions are correlated.</w:t>
      </w:r>
    </w:p>
    <w:p>
      <w:pPr>
        <w:pStyle w:val="Heading2"/>
        <w:snapToGrid w:val="0"/>
      </w:pPr>
      <w:r>
        <w:rPr>
          <w:rFonts w:ascii="Calibri" w:hAnsi="Calibri" w:eastAsia="Microsoft YaHei"/>
          <w:color w:val="000000"/>
        </w:rPr>
        <w:t>17 Acceptance criteria</w:t>
      </w:r>
    </w:p>
    <w:p>
      <w:pPr>
        <w:snapToGrid w:val="0"/>
      </w:pPr>
      <w:r>
        <w:rPr>
          <w:rFonts w:ascii="Calibri" w:hAnsi="Calibri" w:eastAsia="Microsoft YaHei"/>
          <w:color w:val="000000"/>
        </w:rPr>
        <w:t>Set quality tolerance δ and speed targets before testing. For Δ=accuracy_linear-accuracy_softmax, non-inferiority requires the interval’s lower bound to exceed -δ. Speed must meet the target over the predefined length range. Both are required for a combined claim.</w:t>
      </w:r>
    </w:p>
    <w:p>
      <w:pPr>
        <w:snapToGrid w:val="0"/>
      </w:pPr>
      <w:r>
        <w:rPr>
          <w:rFonts w:ascii="Calibri" w:hAnsi="Calibri" w:eastAsia="Microsoft YaHei"/>
          <w:color w:val="000000"/>
        </w:rPr>
        <w:t>If short inputs are slower but long inputs faster, report the crossover and supported range. If gains exist only against a naive baseline, restrict the conclusion. Small output error does not establish preserved quality when retrieval accuracy falls substantially.</w:t>
      </w:r>
    </w:p>
    <w:tbl>
      <w:tblPr>
        <w:tblW w:type="auto" w:w="0"/>
        <w:tblLayout w:type="fixed"/>
        <w:tblLook w:firstColumn="1" w:firstRow="1" w:lastColumn="0" w:lastRow="0" w:noHBand="0" w:noVBand="1" w:val="04A0"/>
      </w:tblPr>
      <w:tblGrid>
        <w:gridCol w:w="2664"/>
        <w:gridCol w:w="1440"/>
        <w:gridCol w:w="1800"/>
        <w:gridCol w:w="1800"/>
        <w:gridCol w:w="1944"/>
      </w:tblGrid>
      <w:tr>
        <w:trPr>
          <w:cantSplit/>
          <w:tblHeader/>
        </w:trPr>
        <w:tc>
          <w:tcPr>
            <w:tcW w:type="dxa" w:w="2664"/>
            <w:vAlign w:val="center"/>
            <w:shd w:fill="E8EEF4"/>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2" w:lineRule="auto"/>
              <w:snapToGrid w:val="0"/>
            </w:pPr>
            <w:r>
              <w:rPr>
                <w:rFonts w:ascii="Calibri" w:hAnsi="Calibri" w:eastAsia="Microsoft YaHei"/>
                <w:b/>
                <w:color w:val="000000"/>
                <w:sz w:val="18"/>
              </w:rPr>
              <w:t>Length and method</w:t>
            </w:r>
          </w:p>
        </w:tc>
        <w:tc>
          <w:tcPr>
            <w:tcW w:type="dxa" w:w="1440"/>
            <w:vAlign w:val="center"/>
            <w:shd w:fill="E8EEF4"/>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2" w:lineRule="auto"/>
              <w:snapToGrid w:val="0"/>
            </w:pPr>
            <w:r>
              <w:rPr>
                <w:rFonts w:ascii="Calibri" w:hAnsi="Calibri" w:eastAsia="Microsoft YaHei"/>
                <w:b/>
                <w:color w:val="000000"/>
                <w:sz w:val="18"/>
              </w:rPr>
              <w:t>Latency</w:t>
            </w:r>
          </w:p>
        </w:tc>
        <w:tc>
          <w:tcPr>
            <w:tcW w:type="dxa" w:w="1800"/>
            <w:vAlign w:val="center"/>
            <w:shd w:fill="E8EEF4"/>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2" w:lineRule="auto"/>
              <w:snapToGrid w:val="0"/>
            </w:pPr>
            <w:r>
              <w:rPr>
                <w:rFonts w:ascii="Calibri" w:hAnsi="Calibri" w:eastAsia="Microsoft YaHei"/>
                <w:b/>
                <w:color w:val="000000"/>
                <w:sz w:val="18"/>
              </w:rPr>
              <w:t>Peak memory</w:t>
            </w:r>
          </w:p>
        </w:tc>
        <w:tc>
          <w:tcPr>
            <w:tcW w:type="dxa" w:w="1800"/>
            <w:vAlign w:val="center"/>
            <w:shd w:fill="E8EEF4"/>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2" w:lineRule="auto"/>
              <w:snapToGrid w:val="0"/>
            </w:pPr>
            <w:r>
              <w:rPr>
                <w:rFonts w:ascii="Calibri" w:hAnsi="Calibri" w:eastAsia="Microsoft YaHei"/>
                <w:b/>
                <w:color w:val="000000"/>
                <w:sz w:val="18"/>
              </w:rPr>
              <w:t>Output error</w:t>
            </w:r>
          </w:p>
        </w:tc>
        <w:tc>
          <w:tcPr>
            <w:tcW w:type="dxa" w:w="1944"/>
            <w:vAlign w:val="center"/>
            <w:shd w:fill="E8EEF4"/>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2" w:lineRule="auto"/>
              <w:snapToGrid w:val="0"/>
            </w:pPr>
            <w:r>
              <w:rPr>
                <w:rFonts w:ascii="Calibri" w:hAnsi="Calibri" w:eastAsia="Microsoft YaHei"/>
                <w:b/>
                <w:color w:val="000000"/>
                <w:sz w:val="18"/>
              </w:rPr>
              <w:t>Retrieval</w:t>
            </w:r>
          </w:p>
        </w:tc>
      </w:tr>
      <w:tr>
        <w:trPr>
          <w:cantSplit/>
        </w:trPr>
        <w:tc>
          <w:tcPr>
            <w:tcW w:type="dxa" w:w="2664"/>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2" w:lineRule="auto"/>
              <w:snapToGrid w:val="0"/>
            </w:pPr>
            <w:r>
              <w:rPr>
                <w:rFonts w:ascii="Calibri" w:hAnsi="Calibri" w:eastAsia="Microsoft YaHei"/>
                <w:b w:val="0"/>
                <w:color w:val="000000"/>
                <w:sz w:val="18"/>
              </w:rPr>
              <w:t>Pending</w:t>
            </w:r>
          </w:p>
        </w:tc>
        <w:tc>
          <w:tcPr>
            <w:tcW w:type="dxa" w:w="1440"/>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2" w:lineRule="auto"/>
              <w:snapToGrid w:val="0"/>
            </w:pPr>
            <w:r>
              <w:rPr>
                <w:rFonts w:ascii="Calibri" w:hAnsi="Calibri" w:eastAsia="Microsoft YaHei"/>
                <w:b w:val="0"/>
                <w:color w:val="000000"/>
                <w:sz w:val="18"/>
              </w:rPr>
              <w:t>Pending</w:t>
            </w:r>
          </w:p>
        </w:tc>
        <w:tc>
          <w:tcPr>
            <w:tcW w:type="dxa" w:w="1800"/>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2" w:lineRule="auto"/>
              <w:snapToGrid w:val="0"/>
            </w:pPr>
            <w:r>
              <w:rPr>
                <w:rFonts w:ascii="Calibri" w:hAnsi="Calibri" w:eastAsia="Microsoft YaHei"/>
                <w:b w:val="0"/>
                <w:color w:val="000000"/>
                <w:sz w:val="18"/>
              </w:rPr>
              <w:t>Pending</w:t>
            </w:r>
          </w:p>
        </w:tc>
        <w:tc>
          <w:tcPr>
            <w:tcW w:type="dxa" w:w="1800"/>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2" w:lineRule="auto"/>
              <w:snapToGrid w:val="0"/>
            </w:pPr>
            <w:r>
              <w:rPr>
                <w:rFonts w:ascii="Calibri" w:hAnsi="Calibri" w:eastAsia="Microsoft YaHei"/>
                <w:b w:val="0"/>
                <w:color w:val="000000"/>
                <w:sz w:val="18"/>
              </w:rPr>
              <w:t>Pending</w:t>
            </w:r>
          </w:p>
        </w:tc>
        <w:tc>
          <w:tcPr>
            <w:tcW w:type="dxa" w:w="1944"/>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2" w:lineRule="auto"/>
              <w:snapToGrid w:val="0"/>
            </w:pPr>
            <w:r>
              <w:rPr>
                <w:rFonts w:ascii="Calibri" w:hAnsi="Calibri" w:eastAsia="Microsoft YaHei"/>
                <w:b w:val="0"/>
                <w:color w:val="000000"/>
                <w:sz w:val="18"/>
              </w:rPr>
              <w:t>Pending</w:t>
            </w:r>
          </w:p>
        </w:tc>
      </w:tr>
      <w:tr>
        <w:trPr>
          <w:cantSplit/>
        </w:trPr>
        <w:tc>
          <w:tcPr>
            <w:tcW w:type="dxa" w:w="2664"/>
            <w:vAlign w:val="center"/>
            <w:shd w:fill="F7F8FA"/>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2" w:lineRule="auto"/>
              <w:snapToGrid w:val="0"/>
            </w:pPr>
            <w:r>
              <w:rPr>
                <w:rFonts w:ascii="Calibri" w:hAnsi="Calibri" w:eastAsia="Microsoft YaHei"/>
                <w:b w:val="0"/>
                <w:color w:val="000000"/>
                <w:sz w:val="18"/>
              </w:rPr>
              <w:t>Pending</w:t>
            </w:r>
          </w:p>
        </w:tc>
        <w:tc>
          <w:tcPr>
            <w:tcW w:type="dxa" w:w="1440"/>
            <w:vAlign w:val="center"/>
            <w:shd w:fill="F7F8FA"/>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2" w:lineRule="auto"/>
              <w:snapToGrid w:val="0"/>
            </w:pPr>
            <w:r>
              <w:rPr>
                <w:rFonts w:ascii="Calibri" w:hAnsi="Calibri" w:eastAsia="Microsoft YaHei"/>
                <w:b w:val="0"/>
                <w:color w:val="000000"/>
                <w:sz w:val="18"/>
              </w:rPr>
              <w:t>Pending</w:t>
            </w:r>
          </w:p>
        </w:tc>
        <w:tc>
          <w:tcPr>
            <w:tcW w:type="dxa" w:w="1800"/>
            <w:vAlign w:val="center"/>
            <w:shd w:fill="F7F8FA"/>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2" w:lineRule="auto"/>
              <w:snapToGrid w:val="0"/>
            </w:pPr>
            <w:r>
              <w:rPr>
                <w:rFonts w:ascii="Calibri" w:hAnsi="Calibri" w:eastAsia="Microsoft YaHei"/>
                <w:b w:val="0"/>
                <w:color w:val="000000"/>
                <w:sz w:val="18"/>
              </w:rPr>
              <w:t>Pending</w:t>
            </w:r>
          </w:p>
        </w:tc>
        <w:tc>
          <w:tcPr>
            <w:tcW w:type="dxa" w:w="1800"/>
            <w:vAlign w:val="center"/>
            <w:shd w:fill="F7F8FA"/>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2" w:lineRule="auto"/>
              <w:snapToGrid w:val="0"/>
            </w:pPr>
            <w:r>
              <w:rPr>
                <w:rFonts w:ascii="Calibri" w:hAnsi="Calibri" w:eastAsia="Microsoft YaHei"/>
                <w:b w:val="0"/>
                <w:color w:val="000000"/>
                <w:sz w:val="18"/>
              </w:rPr>
              <w:t>Pending</w:t>
            </w:r>
          </w:p>
        </w:tc>
        <w:tc>
          <w:tcPr>
            <w:tcW w:type="dxa" w:w="1944"/>
            <w:vAlign w:val="center"/>
            <w:shd w:fill="F7F8FA"/>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2" w:lineRule="auto"/>
              <w:snapToGrid w:val="0"/>
            </w:pPr>
            <w:r>
              <w:rPr>
                <w:rFonts w:ascii="Calibri" w:hAnsi="Calibri" w:eastAsia="Microsoft YaHei"/>
                <w:b w:val="0"/>
                <w:color w:val="000000"/>
                <w:sz w:val="18"/>
              </w:rPr>
              <w:t>Pending</w:t>
            </w:r>
          </w:p>
        </w:tc>
      </w:tr>
    </w:tbl>
    <w:p>
      <w:pPr>
        <w:spacing w:after="0"/>
        <w:snapToGrid w:val="0"/>
      </w:pPr>
    </w:p>
    <w:p>
      <w:pPr>
        <w:pStyle w:val="Heading2"/>
        <w:snapToGrid w:val="0"/>
      </w:pPr>
      <w:r>
        <w:rPr>
          <w:rFonts w:ascii="Calibri" w:hAnsi="Calibri" w:eastAsia="Microsoft YaHei"/>
          <w:color w:val="000000"/>
        </w:rPr>
        <w:t>18 Registration fields</w:t>
      </w:r>
    </w:p>
    <w:p>
      <w:pPr>
        <w:snapToGrid w:val="0"/>
      </w:pPr>
      <w:r>
        <w:rPr>
          <w:rFonts w:ascii="Calibri" w:hAnsi="Calibri" w:eastAsia="Microsoft YaHei"/>
          <w:color w:val="000000"/>
        </w:rPr>
        <w:t>Lengths, fixed dimensions, precision, device, and timing repetitions</w:t>
        <w:br/>
        <w:t>Team entry: __________________________________________________________</w:t>
        <w:br/>
        <w:t>____________________________________________________________________</w:t>
      </w:r>
    </w:p>
    <w:p>
      <w:pPr>
        <w:snapToGrid w:val="0"/>
      </w:pPr>
      <w:r>
        <w:rPr>
          <w:rFonts w:ascii="Calibri" w:hAnsi="Calibri" w:eastAsia="Microsoft YaHei"/>
          <w:color w:val="000000"/>
        </w:rPr>
        <w:t>Primary quality metric, δ, speed target, and interval method</w:t>
        <w:br/>
        <w:t>Team entry: __________________________________________________________</w:t>
        <w:br/>
        <w:t>____________________________________________________________________</w:t>
      </w:r>
    </w:p>
    <w:p>
      <w:pPr>
        <w:snapToGrid w:val="0"/>
      </w:pPr>
      <w:r>
        <w:rPr>
          <w:rFonts w:ascii="Calibri" w:hAnsi="Calibri" w:eastAsia="Microsoft YaHei"/>
          <w:color w:val="000000"/>
        </w:rPr>
        <w:t>Retrieval generator, decoder, test seeds, and extension triggers</w:t>
        <w:br/>
        <w:t>Team entry: __________________________________________________________</w:t>
        <w:br/>
        <w:t>____________________________________________________________________</w:t>
      </w:r>
    </w:p>
    <w:p>
      <w:pPr>
        <w:snapToGrid w:val="0"/>
      </w:pPr>
      <w:r>
        <w:rPr>
          <w:rFonts w:ascii="Calibri" w:hAnsi="Calibri" w:eastAsia="Microsoft YaHei"/>
          <w:color w:val="000000"/>
        </w:rPr>
        <w:br w:type="page"/>
      </w:r>
    </w:p>
    <w:p>
      <w:pPr>
        <w:pStyle w:val="Heading1"/>
        <w:snapToGrid w:val="0"/>
      </w:pPr>
      <w:r>
        <w:rPr>
          <w:rFonts w:ascii="Calibri" w:hAnsi="Calibri" w:eastAsia="Microsoft YaHei"/>
          <w:color w:val="000000"/>
        </w:rPr>
        <w:t>Team 3 Act and Submission</w:t>
      </w:r>
    </w:p>
    <w:p>
      <w:pPr>
        <w:pStyle w:val="Heading2"/>
        <w:snapToGrid w:val="0"/>
      </w:pPr>
      <w:r>
        <w:rPr>
          <w:rFonts w:ascii="Calibri" w:hAnsi="Calibri" w:eastAsia="Microsoft YaHei"/>
          <w:color w:val="000000"/>
        </w:rPr>
        <w:t>19 Decisions after checking</w:t>
      </w:r>
    </w:p>
    <w:p>
      <w:pPr>
        <w:pStyle w:val="ListBullet"/>
        <w:snapToGrid w:val="0"/>
      </w:pPr>
      <w:r>
        <w:rPr>
          <w:rFonts w:ascii="Calibri" w:hAnsi="Calibri" w:eastAsia="Microsoft YaHei"/>
          <w:color w:val="000000"/>
        </w:rPr>
        <w:t>If K and L disagree, fix computation and normalization before discussing the quality trade-off.</w:t>
      </w:r>
    </w:p>
    <w:p>
      <w:pPr>
        <w:pStyle w:val="ListBullet"/>
        <w:snapToGrid w:val="0"/>
      </w:pPr>
      <w:r>
        <w:rPr>
          <w:rFonts w:ascii="Calibri" w:hAnsi="Calibri" w:eastAsia="Microsoft YaHei"/>
          <w:color w:val="000000"/>
        </w:rPr>
        <w:t>If L differs from S but retrieval meets tolerance, report acceptable alternative behavior under those settings. Do not claim exact equivalence.</w:t>
      </w:r>
    </w:p>
    <w:p>
      <w:pPr>
        <w:pStyle w:val="ListBullet"/>
        <w:snapToGrid w:val="0"/>
      </w:pPr>
      <w:r>
        <w:rPr>
          <w:rFonts w:ascii="Calibri" w:hAnsi="Calibri" w:eastAsia="Microsoft YaHei"/>
          <w:color w:val="000000"/>
        </w:rPr>
        <w:t>If speed improves but retrieval worsens, report the trade-off and inspect interference, input scale, and feature dimension. Increasing r must include its additional cost.</w:t>
      </w:r>
    </w:p>
    <w:p>
      <w:pPr>
        <w:pStyle w:val="ListBullet"/>
        <w:snapToGrid w:val="0"/>
      </w:pPr>
      <w:r>
        <w:rPr>
          <w:rFonts w:ascii="Calibri" w:hAnsi="Calibri" w:eastAsia="Microsoft YaHei"/>
          <w:color w:val="000000"/>
        </w:rPr>
        <w:t>If an optimized exact baseline is faster than the naive comparison suggests, revise the engineering conclusion and preserve the unfavorable control.</w:t>
      </w:r>
    </w:p>
    <w:p>
      <w:pPr>
        <w:pStyle w:val="ListBullet"/>
        <w:snapToGrid w:val="0"/>
      </w:pPr>
      <w:r>
        <w:rPr>
          <w:rFonts w:ascii="Calibri" w:hAnsi="Calibri" w:eastAsia="Microsoft YaHei"/>
          <w:color w:val="000000"/>
        </w:rPr>
        <w:t>After basic checks pass, consider model training or layer replacement. Replacing pretrained attention also changes the model’s representation distribution and may require adaptation; evaluate that separately.</w:t>
      </w:r>
    </w:p>
    <w:p>
      <w:pPr>
        <w:pStyle w:val="Heading2"/>
        <w:snapToGrid w:val="0"/>
      </w:pPr>
      <w:r>
        <w:rPr>
          <w:rFonts w:ascii="Calibri" w:hAnsi="Calibri" w:eastAsia="Microsoft YaHei"/>
          <w:color w:val="000000"/>
        </w:rPr>
        <w:t>20 Submission checklist</w:t>
      </w:r>
    </w:p>
    <w:p>
      <w:pPr>
        <w:snapToGrid w:val="0"/>
      </w:pPr>
      <w:r>
        <w:rPr>
          <w:rFonts w:ascii="Calibri" w:hAnsi="Calibri" w:eastAsia="Microsoft YaHei"/>
          <w:color w:val="000000"/>
        </w:rPr>
        <w:t>Submit corrected equations and calculations, all three implementations, correctness checks, benchmark settings, raw timing logs, environment, retrieval generator, result tables, efficiency-quality curves, and limitations. Preserve OOM cases, failures, and unsupported hypotheses.</w:t>
      </w:r>
    </w:p>
    <w:tbl>
      <w:tblPr>
        <w:tblW w:type="auto" w:w="0"/>
        <w:tblLayout w:type="fixed"/>
        <w:tblLook w:firstColumn="1" w:firstRow="1" w:lastColumn="0" w:lastRow="0" w:noHBand="0" w:noVBand="1" w:val="04A0"/>
      </w:tblPr>
      <w:tblGrid>
        <w:gridCol w:w="4248"/>
        <w:gridCol w:w="1584"/>
        <w:gridCol w:w="3816"/>
      </w:tblGrid>
      <w:tr>
        <w:trPr>
          <w:cantSplit/>
          <w:tblHeader/>
        </w:trPr>
        <w:tc>
          <w:tcPr>
            <w:tcW w:type="dxa" w:w="4248"/>
            <w:vAlign w:val="center"/>
            <w:shd w:fill="E8EEF4"/>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2" w:lineRule="auto"/>
              <w:snapToGrid w:val="0"/>
            </w:pPr>
            <w:r>
              <w:rPr>
                <w:rFonts w:ascii="Calibri" w:hAnsi="Calibri" w:eastAsia="Microsoft YaHei"/>
                <w:b/>
                <w:color w:val="000000"/>
                <w:sz w:val="18"/>
              </w:rPr>
              <w:t>Deliverable</w:t>
            </w:r>
          </w:p>
        </w:tc>
        <w:tc>
          <w:tcPr>
            <w:tcW w:type="dxa" w:w="1584"/>
            <w:vAlign w:val="center"/>
            <w:shd w:fill="E8EEF4"/>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2" w:lineRule="auto"/>
              <w:snapToGrid w:val="0"/>
            </w:pPr>
            <w:r>
              <w:rPr>
                <w:rFonts w:ascii="Calibri" w:hAnsi="Calibri" w:eastAsia="Microsoft YaHei"/>
                <w:b/>
                <w:color w:val="000000"/>
                <w:sz w:val="18"/>
              </w:rPr>
              <w:t>Owner</w:t>
            </w:r>
          </w:p>
        </w:tc>
        <w:tc>
          <w:tcPr>
            <w:tcW w:type="dxa" w:w="3816"/>
            <w:vAlign w:val="center"/>
            <w:shd w:fill="E8EEF4"/>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2" w:lineRule="auto"/>
              <w:snapToGrid w:val="0"/>
            </w:pPr>
            <w:r>
              <w:rPr>
                <w:rFonts w:ascii="Calibri" w:hAnsi="Calibri" w:eastAsia="Microsoft YaHei"/>
                <w:b/>
                <w:color w:val="000000"/>
                <w:sz w:val="18"/>
              </w:rPr>
              <w:t>Status and evidence</w:t>
            </w:r>
          </w:p>
        </w:tc>
      </w:tr>
      <w:tr>
        <w:trPr>
          <w:cantSplit/>
        </w:trPr>
        <w:tc>
          <w:tcPr>
            <w:tcW w:type="dxa" w:w="4248"/>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2" w:lineRule="auto"/>
              <w:snapToGrid w:val="0"/>
            </w:pPr>
            <w:r>
              <w:rPr>
                <w:rFonts w:ascii="Calibri" w:hAnsi="Calibri" w:eastAsia="Microsoft YaHei"/>
                <w:b w:val="0"/>
                <w:color w:val="000000"/>
                <w:sz w:val="18"/>
              </w:rPr>
              <w:t>Mathematics and implementation review</w:t>
            </w:r>
          </w:p>
        </w:tc>
        <w:tc>
          <w:tcPr>
            <w:tcW w:type="dxa" w:w="1584"/>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2" w:lineRule="auto"/>
              <w:snapToGrid w:val="0"/>
            </w:pPr>
            <w:r>
              <w:rPr>
                <w:rFonts w:ascii="Calibri" w:hAnsi="Calibri" w:eastAsia="Microsoft YaHei"/>
                <w:b w:val="0"/>
                <w:color w:val="000000"/>
                <w:sz w:val="18"/>
              </w:rPr>
              <w:t>To complete</w:t>
            </w:r>
          </w:p>
        </w:tc>
        <w:tc>
          <w:tcPr>
            <w:tcW w:type="dxa" w:w="3816"/>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2" w:lineRule="auto"/>
              <w:snapToGrid w:val="0"/>
            </w:pPr>
            <w:r>
              <w:rPr>
                <w:rFonts w:ascii="Calibri" w:hAnsi="Calibri" w:eastAsia="Microsoft YaHei"/>
                <w:b w:val="0"/>
                <w:color w:val="000000"/>
                <w:sz w:val="18"/>
              </w:rPr>
              <w:t>To complete</w:t>
            </w:r>
          </w:p>
        </w:tc>
      </w:tr>
      <w:tr>
        <w:trPr>
          <w:cantSplit/>
        </w:trPr>
        <w:tc>
          <w:tcPr>
            <w:tcW w:type="dxa" w:w="4248"/>
            <w:vAlign w:val="center"/>
            <w:shd w:fill="F7F8FA"/>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2" w:lineRule="auto"/>
              <w:snapToGrid w:val="0"/>
            </w:pPr>
            <w:r>
              <w:rPr>
                <w:rFonts w:ascii="Calibri" w:hAnsi="Calibri" w:eastAsia="Microsoft YaHei"/>
                <w:b w:val="0"/>
                <w:color w:val="000000"/>
                <w:sz w:val="18"/>
              </w:rPr>
              <w:t>Performance and retrieval experiments</w:t>
            </w:r>
          </w:p>
        </w:tc>
        <w:tc>
          <w:tcPr>
            <w:tcW w:type="dxa" w:w="1584"/>
            <w:vAlign w:val="center"/>
            <w:shd w:fill="F7F8FA"/>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2" w:lineRule="auto"/>
              <w:snapToGrid w:val="0"/>
            </w:pPr>
            <w:r>
              <w:rPr>
                <w:rFonts w:ascii="Calibri" w:hAnsi="Calibri" w:eastAsia="Microsoft YaHei"/>
                <w:b w:val="0"/>
                <w:color w:val="000000"/>
                <w:sz w:val="18"/>
              </w:rPr>
              <w:t>To complete</w:t>
            </w:r>
          </w:p>
        </w:tc>
        <w:tc>
          <w:tcPr>
            <w:tcW w:type="dxa" w:w="3816"/>
            <w:vAlign w:val="center"/>
            <w:shd w:fill="F7F8FA"/>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2" w:lineRule="auto"/>
              <w:snapToGrid w:val="0"/>
            </w:pPr>
            <w:r>
              <w:rPr>
                <w:rFonts w:ascii="Calibri" w:hAnsi="Calibri" w:eastAsia="Microsoft YaHei"/>
                <w:b w:val="0"/>
                <w:color w:val="000000"/>
                <w:sz w:val="18"/>
              </w:rPr>
              <w:t>To complete</w:t>
            </w:r>
          </w:p>
        </w:tc>
      </w:tr>
      <w:tr>
        <w:trPr>
          <w:cantSplit/>
        </w:trPr>
        <w:tc>
          <w:tcPr>
            <w:tcW w:type="dxa" w:w="4248"/>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2" w:lineRule="auto"/>
              <w:snapToGrid w:val="0"/>
            </w:pPr>
            <w:r>
              <w:rPr>
                <w:rFonts w:ascii="Calibri" w:hAnsi="Calibri" w:eastAsia="Microsoft YaHei"/>
                <w:b w:val="0"/>
                <w:color w:val="000000"/>
                <w:sz w:val="18"/>
              </w:rPr>
              <w:t>Analysis and revised proposal</w:t>
            </w:r>
          </w:p>
        </w:tc>
        <w:tc>
          <w:tcPr>
            <w:tcW w:type="dxa" w:w="1584"/>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2" w:lineRule="auto"/>
              <w:snapToGrid w:val="0"/>
            </w:pPr>
            <w:r>
              <w:rPr>
                <w:rFonts w:ascii="Calibri" w:hAnsi="Calibri" w:eastAsia="Microsoft YaHei"/>
                <w:b w:val="0"/>
                <w:color w:val="000000"/>
                <w:sz w:val="18"/>
              </w:rPr>
              <w:t>To complete</w:t>
            </w:r>
          </w:p>
        </w:tc>
        <w:tc>
          <w:tcPr>
            <w:tcW w:type="dxa" w:w="3816"/>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2" w:lineRule="auto"/>
              <w:snapToGrid w:val="0"/>
            </w:pPr>
            <w:r>
              <w:rPr>
                <w:rFonts w:ascii="Calibri" w:hAnsi="Calibri" w:eastAsia="Microsoft YaHei"/>
                <w:b w:val="0"/>
                <w:color w:val="000000"/>
                <w:sz w:val="18"/>
              </w:rPr>
              <w:t>To complete</w:t>
            </w:r>
          </w:p>
        </w:tc>
      </w:tr>
    </w:tbl>
    <w:p>
      <w:pPr>
        <w:spacing w:after="0"/>
        <w:snapToGrid w:val="0"/>
      </w:pPr>
    </w:p>
    <w:p>
      <w:pPr>
        <w:pStyle w:val="Heading2"/>
        <w:snapToGrid w:val="0"/>
      </w:pPr>
      <w:r>
        <w:rPr>
          <w:rFonts w:ascii="Calibri" w:hAnsi="Calibri" w:eastAsia="Microsoft YaHei"/>
          <w:color w:val="000000"/>
        </w:rPr>
        <w:t>21 Conclusion template</w:t>
      </w:r>
    </w:p>
    <w:p>
      <w:pPr>
        <w:snapToGrid w:val="0"/>
      </w:pPr>
      <w:r>
        <w:rPr>
          <w:rFonts w:ascii="Calibri" w:hAnsi="Calibri" w:eastAsia="Microsoft YaHei"/>
          <w:color w:val="000000"/>
        </w:rPr>
        <w:t>Under [hardware and precision], [fixed dimensions], and [length range], the specified method had [time ratio and variability] relative to [baseline implementation], with [peak memory]. Retrieval accuracy differed by [estimate and interval], which [meets or fails] the predefined δ. The conclusion applies to [conditions]. Next, test [remaining question].</w:t>
      </w:r>
    </w:p>
    <w:p>
      <w:pPr>
        <w:pStyle w:val="Heading2"/>
        <w:snapToGrid w:val="0"/>
      </w:pPr>
      <w:r>
        <w:rPr>
          <w:rFonts w:ascii="Calibri" w:hAnsi="Calibri" w:eastAsia="Microsoft YaHei"/>
          <w:color w:val="000000"/>
        </w:rPr>
        <w:t>22 References</w:t>
      </w:r>
    </w:p>
    <w:p>
      <w:pPr>
        <w:snapToGrid w:val="0"/>
      </w:pPr>
      <w:r>
        <w:rPr>
          <w:rFonts w:ascii="Calibri" w:hAnsi="Calibri" w:eastAsia="Microsoft YaHei"/>
          <w:color w:val="000000"/>
        </w:rPr>
        <w:t>Team source: Linear_Attention_Research_Team_3.docx, section 12 calculations and section 14 experimental sequence.</w:t>
      </w:r>
    </w:p>
    <w:p>
      <w:pPr>
        <w:snapToGrid w:val="0"/>
      </w:pPr>
      <w:r>
        <w:rPr>
          <w:rFonts w:ascii="Calibri" w:hAnsi="Calibri" w:eastAsia="Microsoft YaHei"/>
          <w:color w:val="000000"/>
        </w:rPr>
        <w:t>Katharopoulos et al. Transformers are RNNs</w:t>
        <w:br/>
        <w:t>https://proceedings.mlr.press/v119/katharopoulos20a.html</w:t>
      </w:r>
    </w:p>
    <w:p>
      <w:pPr>
        <w:snapToGrid w:val="0"/>
      </w:pPr>
      <w:r>
        <w:rPr>
          <w:rFonts w:ascii="Calibri" w:hAnsi="Calibri" w:eastAsia="Microsoft YaHei"/>
          <w:color w:val="000000"/>
        </w:rPr>
        <w:t>Dao et al. FlashAttention</w:t>
        <w:br/>
        <w:t>https://arxiv.org/abs/2205.14135</w:t>
      </w:r>
    </w:p>
    <w:p>
      <w:pPr>
        <w:snapToGrid w:val="0"/>
      </w:pPr>
      <w:r>
        <w:rPr>
          <w:rFonts w:ascii="Calibri" w:hAnsi="Calibri" w:eastAsia="Microsoft YaHei"/>
          <w:color w:val="000000"/>
        </w:rPr>
        <w:t>These references distinguish kernelized linear methods, standard softmax, and optimized exact attention. Record the actual implementation and version used in each experiment.</w:t>
      </w:r>
    </w:p>
    <w:p>
      <w:pPr>
        <w:snapToGrid w:val="0"/>
      </w:pPr>
      <w:r>
        <w:rPr>
          <w:rFonts w:ascii="Calibri" w:hAnsi="Calibri" w:eastAsia="Microsoft YaHei"/>
          <w:color w:val="000000"/>
        </w:rPr>
        <w:br w:type="page"/>
      </w:r>
    </w:p>
    <w:p>
      <w:pPr>
        <w:pStyle w:val="Heading1"/>
        <w:snapToGrid w:val="0"/>
      </w:pPr>
      <w:r>
        <w:rPr>
          <w:rFonts w:ascii="Calibri" w:hAnsi="Calibri" w:eastAsia="Microsoft YaHei"/>
          <w:color w:val="000000"/>
        </w:rPr>
        <w:t>Team 3 Execution and Review Record</w:t>
      </w:r>
    </w:p>
    <w:p>
      <w:pPr>
        <w:pStyle w:val="Heading2"/>
        <w:snapToGrid w:val="0"/>
      </w:pPr>
      <w:r>
        <w:rPr>
          <w:rFonts w:ascii="Calibri" w:hAnsi="Calibri" w:eastAsia="Microsoft YaHei"/>
          <w:color w:val="000000"/>
        </w:rPr>
        <w:t>Execution record</w:t>
      </w:r>
    </w:p>
    <w:tbl>
      <w:tblPr>
        <w:tblW w:type="auto" w:w="0"/>
        <w:tblLayout w:type="fixed"/>
        <w:tblLook w:firstColumn="1" w:firstRow="1" w:lastColumn="0" w:lastRow="0" w:noHBand="0" w:noVBand="1" w:val="04A0"/>
      </w:tblPr>
      <w:tblGrid>
        <w:gridCol w:w="3312"/>
        <w:gridCol w:w="6336"/>
      </w:tblGrid>
      <w:tr>
        <w:trPr>
          <w:cantSplit/>
          <w:tblHeader/>
        </w:trPr>
        <w:tc>
          <w:tcPr>
            <w:tcW w:type="dxa" w:w="3312"/>
            <w:vAlign w:val="center"/>
            <w:shd w:fill="E8EEF4"/>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2" w:lineRule="auto"/>
              <w:snapToGrid w:val="0"/>
            </w:pPr>
            <w:r>
              <w:rPr>
                <w:rFonts w:ascii="Calibri" w:hAnsi="Calibri" w:eastAsia="Microsoft YaHei"/>
                <w:b/>
                <w:color w:val="000000"/>
                <w:sz w:val="18"/>
              </w:rPr>
              <w:t>Record</w:t>
            </w:r>
          </w:p>
        </w:tc>
        <w:tc>
          <w:tcPr>
            <w:tcW w:type="dxa" w:w="6336"/>
            <w:vAlign w:val="center"/>
            <w:shd w:fill="E8EEF4"/>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2" w:lineRule="auto"/>
              <w:snapToGrid w:val="0"/>
            </w:pPr>
            <w:r>
              <w:rPr>
                <w:rFonts w:ascii="Calibri" w:hAnsi="Calibri" w:eastAsia="Microsoft YaHei"/>
                <w:b/>
                <w:color w:val="000000"/>
                <w:sz w:val="18"/>
              </w:rPr>
              <w:t>Team entry</w:t>
            </w:r>
          </w:p>
        </w:tc>
      </w:tr>
      <w:tr>
        <w:trPr>
          <w:cantSplit/>
        </w:trPr>
        <w:tc>
          <w:tcPr>
            <w:tcW w:type="dxa" w:w="3312"/>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2" w:lineRule="auto"/>
              <w:snapToGrid w:val="0"/>
            </w:pPr>
            <w:r>
              <w:rPr>
                <w:rFonts w:ascii="Calibri" w:hAnsi="Calibri" w:eastAsia="Microsoft YaHei"/>
                <w:b w:val="0"/>
                <w:color w:val="000000"/>
                <w:sz w:val="18"/>
              </w:rPr>
              <w:t>Run ID and code version</w:t>
            </w:r>
          </w:p>
        </w:tc>
        <w:tc>
          <w:tcPr>
            <w:tcW w:type="dxa" w:w="6336"/>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2" w:lineRule="auto"/>
              <w:snapToGrid w:val="0"/>
            </w:pPr>
            <w:r>
              <w:rPr>
                <w:rFonts w:ascii="Calibri" w:hAnsi="Calibri" w:eastAsia="Microsoft YaHei"/>
                <w:b w:val="0"/>
                <w:color w:val="000000"/>
                <w:sz w:val="18"/>
              </w:rPr>
              <w:t>To complete</w:t>
            </w:r>
          </w:p>
        </w:tc>
      </w:tr>
      <w:tr>
        <w:trPr>
          <w:cantSplit/>
        </w:trPr>
        <w:tc>
          <w:tcPr>
            <w:tcW w:type="dxa" w:w="3312"/>
            <w:vAlign w:val="center"/>
            <w:shd w:fill="F7F8FA"/>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2" w:lineRule="auto"/>
              <w:snapToGrid w:val="0"/>
            </w:pPr>
            <w:r>
              <w:rPr>
                <w:rFonts w:ascii="Calibri" w:hAnsi="Calibri" w:eastAsia="Microsoft YaHei"/>
                <w:b w:val="0"/>
                <w:color w:val="000000"/>
                <w:sz w:val="18"/>
              </w:rPr>
              <w:t>Operator and reviewer</w:t>
            </w:r>
          </w:p>
        </w:tc>
        <w:tc>
          <w:tcPr>
            <w:tcW w:type="dxa" w:w="6336"/>
            <w:vAlign w:val="center"/>
            <w:shd w:fill="F7F8FA"/>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2" w:lineRule="auto"/>
              <w:snapToGrid w:val="0"/>
            </w:pPr>
            <w:r>
              <w:rPr>
                <w:rFonts w:ascii="Calibri" w:hAnsi="Calibri" w:eastAsia="Microsoft YaHei"/>
                <w:b w:val="0"/>
                <w:color w:val="000000"/>
                <w:sz w:val="18"/>
              </w:rPr>
              <w:t>To complete</w:t>
            </w:r>
          </w:p>
        </w:tc>
      </w:tr>
      <w:tr>
        <w:trPr>
          <w:cantSplit/>
        </w:trPr>
        <w:tc>
          <w:tcPr>
            <w:tcW w:type="dxa" w:w="3312"/>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2" w:lineRule="auto"/>
              <w:snapToGrid w:val="0"/>
            </w:pPr>
            <w:r>
              <w:rPr>
                <w:rFonts w:ascii="Calibri" w:hAnsi="Calibri" w:eastAsia="Microsoft YaHei"/>
                <w:b w:val="0"/>
                <w:color w:val="000000"/>
                <w:sz w:val="18"/>
              </w:rPr>
              <w:t>Data version and split manifest</w:t>
            </w:r>
          </w:p>
        </w:tc>
        <w:tc>
          <w:tcPr>
            <w:tcW w:type="dxa" w:w="6336"/>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2" w:lineRule="auto"/>
              <w:snapToGrid w:val="0"/>
            </w:pPr>
            <w:r>
              <w:rPr>
                <w:rFonts w:ascii="Calibri" w:hAnsi="Calibri" w:eastAsia="Microsoft YaHei"/>
                <w:b w:val="0"/>
                <w:color w:val="000000"/>
                <w:sz w:val="18"/>
              </w:rPr>
              <w:t>To complete</w:t>
            </w:r>
          </w:p>
        </w:tc>
      </w:tr>
      <w:tr>
        <w:trPr>
          <w:cantSplit/>
        </w:trPr>
        <w:tc>
          <w:tcPr>
            <w:tcW w:type="dxa" w:w="3312"/>
            <w:vAlign w:val="center"/>
            <w:shd w:fill="F7F8FA"/>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2" w:lineRule="auto"/>
              <w:snapToGrid w:val="0"/>
            </w:pPr>
            <w:r>
              <w:rPr>
                <w:rFonts w:ascii="Calibri" w:hAnsi="Calibri" w:eastAsia="Microsoft YaHei"/>
                <w:b w:val="0"/>
                <w:color w:val="000000"/>
                <w:sz w:val="18"/>
              </w:rPr>
              <w:t>Environment and random seeds</w:t>
            </w:r>
          </w:p>
        </w:tc>
        <w:tc>
          <w:tcPr>
            <w:tcW w:type="dxa" w:w="6336"/>
            <w:vAlign w:val="center"/>
            <w:shd w:fill="F7F8FA"/>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2" w:lineRule="auto"/>
              <w:snapToGrid w:val="0"/>
            </w:pPr>
            <w:r>
              <w:rPr>
                <w:rFonts w:ascii="Calibri" w:hAnsi="Calibri" w:eastAsia="Microsoft YaHei"/>
                <w:b w:val="0"/>
                <w:color w:val="000000"/>
                <w:sz w:val="18"/>
              </w:rPr>
              <w:t>To complete</w:t>
            </w:r>
          </w:p>
        </w:tc>
      </w:tr>
      <w:tr>
        <w:trPr>
          <w:cantSplit/>
        </w:trPr>
        <w:tc>
          <w:tcPr>
            <w:tcW w:type="dxa" w:w="3312"/>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2" w:lineRule="auto"/>
              <w:snapToGrid w:val="0"/>
            </w:pPr>
            <w:r>
              <w:rPr>
                <w:rFonts w:ascii="Calibri" w:hAnsi="Calibri" w:eastAsia="Microsoft YaHei"/>
                <w:b w:val="0"/>
                <w:color w:val="000000"/>
                <w:sz w:val="18"/>
              </w:rPr>
              <w:t>Raw results and figure locations</w:t>
            </w:r>
          </w:p>
        </w:tc>
        <w:tc>
          <w:tcPr>
            <w:tcW w:type="dxa" w:w="6336"/>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2" w:lineRule="auto"/>
              <w:snapToGrid w:val="0"/>
            </w:pPr>
            <w:r>
              <w:rPr>
                <w:rFonts w:ascii="Calibri" w:hAnsi="Calibri" w:eastAsia="Microsoft YaHei"/>
                <w:b w:val="0"/>
                <w:color w:val="000000"/>
                <w:sz w:val="18"/>
              </w:rPr>
              <w:t>To complete</w:t>
            </w:r>
          </w:p>
        </w:tc>
      </w:tr>
      <w:tr>
        <w:trPr>
          <w:cantSplit/>
        </w:trPr>
        <w:tc>
          <w:tcPr>
            <w:tcW w:type="dxa" w:w="3312"/>
            <w:vAlign w:val="center"/>
            <w:shd w:fill="F7F8FA"/>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2" w:lineRule="auto"/>
              <w:snapToGrid w:val="0"/>
            </w:pPr>
            <w:r>
              <w:rPr>
                <w:rFonts w:ascii="Calibri" w:hAnsi="Calibri" w:eastAsia="Microsoft YaHei"/>
                <w:b w:val="0"/>
                <w:color w:val="000000"/>
                <w:sz w:val="18"/>
              </w:rPr>
              <w:t>Deviations from the plan and reasons</w:t>
            </w:r>
          </w:p>
        </w:tc>
        <w:tc>
          <w:tcPr>
            <w:tcW w:type="dxa" w:w="6336"/>
            <w:vAlign w:val="center"/>
            <w:shd w:fill="F7F8FA"/>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2" w:lineRule="auto"/>
              <w:snapToGrid w:val="0"/>
            </w:pPr>
            <w:r>
              <w:rPr>
                <w:rFonts w:ascii="Calibri" w:hAnsi="Calibri" w:eastAsia="Microsoft YaHei"/>
                <w:b w:val="0"/>
                <w:color w:val="000000"/>
                <w:sz w:val="18"/>
              </w:rPr>
              <w:t>To complete</w:t>
            </w:r>
          </w:p>
        </w:tc>
      </w:tr>
    </w:tbl>
    <w:p>
      <w:pPr>
        <w:spacing w:after="0"/>
        <w:snapToGrid w:val="0"/>
      </w:pPr>
    </w:p>
    <w:p>
      <w:pPr>
        <w:pStyle w:val="Heading2"/>
        <w:snapToGrid w:val="0"/>
      </w:pPr>
      <w:r>
        <w:rPr>
          <w:rFonts w:ascii="Calibri" w:hAnsi="Calibri" w:eastAsia="Microsoft YaHei"/>
          <w:color w:val="000000"/>
        </w:rPr>
        <w:t>Cycle review</w:t>
      </w:r>
    </w:p>
    <w:p>
      <w:pPr>
        <w:snapToGrid w:val="0"/>
      </w:pPr>
      <w:r>
        <w:rPr>
          <w:rFonts w:ascii="Calibri" w:hAnsi="Calibri" w:eastAsia="Microsoft YaHei"/>
          <w:color w:val="000000"/>
        </w:rPr>
        <w:t>Completed work and supporting evidence</w:t>
        <w:br/>
        <w:t>Team entry: __________________________________________________________</w:t>
        <w:br/>
        <w:t>____________________________________________________________________</w:t>
      </w:r>
    </w:p>
    <w:p>
      <w:pPr>
        <w:snapToGrid w:val="0"/>
      </w:pPr>
      <w:r>
        <w:rPr>
          <w:rFonts w:ascii="Calibri" w:hAnsi="Calibri" w:eastAsia="Microsoft YaHei"/>
          <w:color w:val="000000"/>
        </w:rPr>
        <w:t>Findings that differed from the hypothesis</w:t>
        <w:br/>
        <w:t>Team entry: __________________________________________________________</w:t>
        <w:br/>
        <w:t>____________________________________________________________________</w:t>
      </w:r>
    </w:p>
    <w:p>
      <w:pPr>
        <w:snapToGrid w:val="0"/>
      </w:pPr>
      <w:r>
        <w:rPr>
          <w:rFonts w:ascii="Calibri" w:hAnsi="Calibri" w:eastAsia="Microsoft YaHei"/>
          <w:color w:val="000000"/>
        </w:rPr>
        <w:t>Method retained or changed and the reason</w:t>
        <w:br/>
        <w:t>Team entry: __________________________________________________________</w:t>
        <w:br/>
        <w:t>____________________________________________________________________</w:t>
      </w:r>
    </w:p>
    <w:p>
      <w:pPr>
        <w:snapToGrid w:val="0"/>
      </w:pPr>
      <w:r>
        <w:rPr>
          <w:rFonts w:ascii="Calibri" w:hAnsi="Calibri" w:eastAsia="Microsoft YaHei"/>
          <w:color w:val="000000"/>
        </w:rPr>
        <w:t>Next research question and responsible person</w:t>
        <w:br/>
        <w:t>Team entry: __________________________________________________________</w:t>
        <w:br/>
        <w:t>____________________________________________________________________</w:t>
      </w:r>
    </w:p>
    <w:sectPr w:rsidR="00FC693F" w:rsidRPr="0006063C" w:rsidSect="00034616">
      <w:footerReference w:type="default" r:id="rId9"/>
      <w:pgSz w:w="11909" w:h="16834"/>
      <w:pgMar w:top="936"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YaHei"/>
        <w:color w:val="000000"/>
        <w:sz w:val="16"/>
      </w:rPr>
      <w:t xml:space="preserve">PDCA Research Workbook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1" w:lineRule="auto" w:after="120"/>
    </w:pPr>
    <w:rPr>
      <w:rFonts w:ascii="Calibri" w:hAnsi="Calibri" w:eastAsia="Microsoft YaHe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Calibri" w:hAnsi="Calibri" w:eastAsia="Microsoft YaHe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eastAsia="Microsoft YaHe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Calibri" w:hAnsi="Calibri" w:eastAsia="Microsoft YaHei"/>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eastAsia="Microsoft YaHei"/>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