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Enterprise-Grade Transformation Roadmap &amp; Architecture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Document Identifier</w:t>
      </w:r>
      <w:r>
        <w:rPr>
          <w:rFonts w:ascii="Segoe UI" w:hAnsi="Segoe UI"/>
          <w:color w:val="24292F"/>
          <w:sz w:val="21"/>
        </w:rPr>
        <w:t>: ONTOKB-DOC-07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Version</w:t>
      </w:r>
      <w:r>
        <w:rPr>
          <w:rFonts w:ascii="Segoe UI" w:hAnsi="Segoe UI"/>
          <w:color w:val="24292F"/>
          <w:sz w:val="21"/>
        </w:rPr>
        <w:t>: 2.0.0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Date</w:t>
      </w:r>
      <w:r>
        <w:rPr>
          <w:rFonts w:ascii="Segoe UI" w:hAnsi="Segoe UI"/>
          <w:color w:val="24292F"/>
          <w:sz w:val="21"/>
        </w:rPr>
        <w:t>: September 2026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Status</w:t>
      </w:r>
      <w:r>
        <w:rPr>
          <w:rFonts w:ascii="Segoe UI" w:hAnsi="Segoe UI"/>
          <w:color w:val="24292F"/>
          <w:sz w:val="21"/>
        </w:rPr>
        <w:t>: Strategic Engineering Blueprint &amp; Transformation Plan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Executive Vision: From Prototype to Enterprise Semantic Platform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The future of enterprise AI lies in </w:t>
      </w:r>
      <w:r>
        <w:rPr>
          <w:rFonts w:ascii="Segoe UI" w:hAnsi="Segoe UI"/>
          <w:b/>
          <w:color w:val="24292F"/>
          <w:sz w:val="21"/>
        </w:rPr>
        <w:t>Neurosymbolic Knowledge Systems</w:t>
      </w:r>
      <w:r>
        <w:rPr>
          <w:rFonts w:ascii="Segoe UI" w:hAnsi="Segoe UI"/>
          <w:color w:val="24292F"/>
          <w:sz w:val="21"/>
        </w:rPr>
        <w:t>—uniting the generative reasoning capabilities of Large Language Models (LLMs) with the deterministic precision, auditability, and governance of Formal Knowledge Graphs.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OntoKB Enterprise (OntoKB-E)</w:t>
      </w:r>
      <w:r>
        <w:rPr>
          <w:rFonts w:ascii="Segoe UI" w:hAnsi="Segoe UI"/>
          <w:color w:val="24292F"/>
          <w:sz w:val="21"/>
        </w:rPr>
        <w:t xml:space="preserve"> transforms the current personal prototype into a high-throughput, multi-tenant, cloud-native Knowledge Intelligence Platform. It provides enterprise organizations with: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Zero-Hallucination Enterprise RAG</w:t>
      </w:r>
      <w:r>
        <w:rPr>
          <w:rFonts w:ascii="Segoe UI" w:hAnsi="Segoe UI"/>
          <w:color w:val="24292F"/>
          <w:sz w:val="21"/>
        </w:rPr>
        <w:t>: Graph-grounded responses citing verified corporate entities and verbatim receipts.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Continuous Corporate Knowledge Capture</w:t>
      </w:r>
      <w:r>
        <w:rPr>
          <w:rFonts w:ascii="Segoe UI" w:hAnsi="Segoe UI"/>
          <w:color w:val="24292F"/>
          <w:sz w:val="21"/>
        </w:rPr>
        <w:t>: Automated ingestion across enterprise data silos (SharePoint, Confluence, Slack, Google Drive, Jira, PDFs).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Collaborative Knowledge Curation</w:t>
      </w:r>
      <w:r>
        <w:rPr>
          <w:rFonts w:ascii="Segoe UI" w:hAnsi="Segoe UI"/>
          <w:color w:val="24292F"/>
          <w:sz w:val="21"/>
        </w:rPr>
        <w:t>: Multi-user, role-based entity verification workflows with audit logging.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Enterprise-Scale Hybrid Search</w:t>
      </w:r>
      <w:r>
        <w:rPr>
          <w:rFonts w:ascii="Segoe UI" w:hAnsi="Segoe UI"/>
          <w:color w:val="24292F"/>
          <w:sz w:val="21"/>
        </w:rPr>
        <w:t>: Sub-second graph traversals across millions of nodes combined with vector similarity search.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Target Enterprise Architecture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subgraph ClientLayer ["1. Client &amp; Integration Layer"]</w:t>
              <w:br/>
              <w:t xml:space="preserve">        WebUI["Modern React/Next.js Web SPA (WebGL Graph)"]</w:t>
              <w:br/>
              <w:t xml:space="preserve">        Obsidian["Obsidian / IDE Plugins (Bi-directional Sync)"]</w:t>
              <w:br/>
              <w:t xml:space="preserve">        APIClients["Enterprise REST / GraphQL / gRPC SDKs"]</w:t>
              <w:br/>
              <w:t xml:space="preserve">    end</w:t>
              <w:br/>
              <w:br/>
              <w:t xml:space="preserve">    subgraph GatewayLayer ["2. API Gateway &amp; Security"]</w:t>
              <w:br/>
              <w:t xml:space="preserve">        Gateway["API Gateway (Kong / Traefik / Envoy)"]</w:t>
              <w:br/>
              <w:t xml:space="preserve">        AuthService["Identity &amp; Access (Keycloak / Okta / Azure AD OIDC)"]</w:t>
              <w:br/>
              <w:t xml:space="preserve">        RateLimiter["Rate Limiting &amp; Tenant Metering"]</w:t>
              <w:br/>
              <w:t xml:space="preserve">    end</w:t>
              <w:br/>
              <w:br/>
              <w:t xml:space="preserve">    subgraph ServiceLayer ["3. Microservices Core (FastAPI / Asynchronous)"]</w:t>
              <w:br/>
              <w:t xml:space="preserve">        IngestService["Ingestion &amp; Document Parsing Service"]</w:t>
              <w:br/>
              <w:t xml:space="preserve">        ExtractionEngine["LLM Extraction &amp; Alignment Worker Pool"]</w:t>
              <w:br/>
              <w:t xml:space="preserve">        GraphQueryService["Graph Reasoning &amp; Hybrid RAG Engine"]</w:t>
              <w:br/>
              <w:t xml:space="preserve">        EditorService["Collaborative Knowledge Editor &amp; Audit Engine"]</w:t>
              <w:br/>
              <w:t xml:space="preserve">        MemoryService["Personal &amp; Team Epistemic Stance Service"]</w:t>
              <w:br/>
              <w:t xml:space="preserve">    end</w:t>
              <w:br/>
              <w:br/>
              <w:t xml:space="preserve">    subgraph QueueLayer ["4. Event Bus &amp; Task Orchestration"]</w:t>
              <w:br/>
              <w:t xml:space="preserve">        Kafka["Event Stream / Queue (Kafka / RabbitMQ / Redis)"]</w:t>
              <w:br/>
              <w:t xml:space="preserve">        Celery["Distributed Async Task Workers"]</w:t>
              <w:br/>
              <w:t xml:space="preserve">    end</w:t>
              <w:br/>
              <w:br/>
              <w:t xml:space="preserve">    subgraph StorageLayer ["5. Enterprise Multi-Model Storage"]</w:t>
              <w:br/>
              <w:t xml:space="preserve">        GraphDB[("Distributed Graph DB\nNeo4j / Amazon Neptune / Memgraph")]</w:t>
              <w:br/>
              <w:t xml:space="preserve">        VectorDB[("Vector Database\nQdrant / Milvus / pgvector")]</w:t>
              <w:br/>
              <w:t xml:space="preserve">        RelationalDB[("Relational &amp; Audit Store\nPostgreSQL + TimescaleDB")]</w:t>
              <w:br/>
              <w:t xml:space="preserve">        ObjectStore[("Document Object Store\nMinIO / AWS S3 / Azure Blob")]</w:t>
              <w:br/>
              <w:t xml:space="preserve">    end</w:t>
              <w:br/>
              <w:br/>
              <w:t xml:space="preserve">    subgraph LLMGatewayLayer ["6. LLM Gateway &amp; Guardrails"]</w:t>
              <w:br/>
              <w:t xml:space="preserve">        LLMGateway["LiteLLM / vLLM / Azure OpenAI Gateway"]</w:t>
              <w:br/>
              <w:t xml:space="preserve">        Guardrails["NeMo Guardrails / Pydantic Structured Outputs"]</w:t>
              <w:br/>
              <w:t xml:space="preserve">    end</w:t>
              <w:br/>
              <w:br/>
              <w:t xml:space="preserve">    ClientLayer --&gt; GatewayLayer</w:t>
              <w:br/>
              <w:t xml:space="preserve">    GatewayLayer --&gt; ServiceLayer</w:t>
              <w:br/>
              <w:t xml:space="preserve">    ServiceLayer &lt;--&gt; QueueLayer</w:t>
              <w:br/>
              <w:t xml:space="preserve">    QueueLayer &lt;--&gt; ExtractionEngine</w:t>
              <w:br/>
              <w:t xml:space="preserve">    ExtractionEngine &lt;--&gt; LLMGatewayLayer</w:t>
              <w:br/>
              <w:t xml:space="preserve">    ServiceLayer &lt;--&gt; StorageLayer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Core Enterprise Subsystem Specifications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Distributed Multi-Model Storage Engine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Instead of relying on a single SQLite file, OntoKB Enterprise adopts a </w:t>
      </w:r>
      <w:r>
        <w:rPr>
          <w:rFonts w:ascii="Segoe UI" w:hAnsi="Segoe UI"/>
          <w:b/>
          <w:color w:val="24292F"/>
          <w:sz w:val="21"/>
        </w:rPr>
        <w:t>polyglot persistence model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1. </w:t>
      </w:r>
      <w:r>
        <w:rPr>
          <w:rFonts w:ascii="Segoe UI" w:hAnsi="Segoe UI"/>
          <w:b/>
          <w:color w:val="24292F"/>
          <w:sz w:val="21"/>
        </w:rPr>
        <w:t>Graph Database (Neo4j / Memgraph / Amazon Neptune)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Stores the core Schema.org Knowledge Tier and Document Tier.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Provides native Cypher/openCypher query execution with index-free adjacency.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Capable of 10-hop graph traversal queries in $&lt; 15\text{ms}$ across billions of edges.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2. </w:t>
      </w:r>
      <w:r>
        <w:rPr>
          <w:rFonts w:ascii="Segoe UI" w:hAnsi="Segoe UI"/>
          <w:b/>
          <w:color w:val="24292F"/>
          <w:sz w:val="21"/>
        </w:rPr>
        <w:t>Vector Database (Qdrant / Milvus / pgvector)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Stores dense embeddings (e.g. OpenAI </w:t>
      </w:r>
      <w:r>
        <w:rPr>
          <w:rFonts w:ascii="Consolas" w:hAnsi="Consolas"/>
          <w:color w:val="0550AE"/>
          <w:sz w:val="20"/>
        </w:rPr>
        <w:t>text-embedding-3-large</w:t>
      </w:r>
      <w:r>
        <w:rPr>
          <w:rFonts w:ascii="Segoe UI" w:hAnsi="Segoe UI"/>
          <w:color w:val="24292F"/>
          <w:sz w:val="21"/>
        </w:rPr>
        <w:t>, BGE-M3, or Cohere Embed v3) for documents, entity descriptions, and verbatim evidence quotes.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Powers hybrid retrieval: $\text{Score} = \alpha \cdot \text{VectorSimilarity} + \beta \cdot \text{BM25} + \gamma \cdot \text{GraphPageRank}$.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3. </w:t>
      </w:r>
      <w:r>
        <w:rPr>
          <w:rFonts w:ascii="Segoe UI" w:hAnsi="Segoe UI"/>
          <w:b/>
          <w:color w:val="24292F"/>
          <w:sz w:val="21"/>
        </w:rPr>
        <w:t>Relational &amp; Event Store (PostgreSQL + TimescaleDB)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Stores user authentication, tenant metadata, role permissions, and immutable audit logs (</w:t>
      </w:r>
      <w:r>
        <w:rPr>
          <w:rFonts w:ascii="Consolas" w:hAnsi="Consolas"/>
          <w:color w:val="0550AE"/>
          <w:sz w:val="20"/>
        </w:rPr>
        <w:t>edit_history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memory_history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Enables Point-in-Time Recovery (PITR) and compliance rollback journals.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4. </w:t>
      </w:r>
      <w:r>
        <w:rPr>
          <w:rFonts w:ascii="Segoe UI" w:hAnsi="Segoe UI"/>
          <w:b/>
          <w:color w:val="24292F"/>
          <w:sz w:val="21"/>
        </w:rPr>
        <w:t>Object Storage (MinIO / S3)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Stores raw original files (PDFs, recordings, audio files, image scans) with cryptographic hash integrity checks.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Enterprise ETL &amp; Ingestion Subsystem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Automated Web Article Crawler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Headless browser pool (Playwright / Crawl4AI) equipped to bypass dynamic JavaScript hydration, cookie banners, and bot protections.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Readability extraction using Trafilatura to isolate high-quality text, author metadata, and publication timestamps.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Enterprise File Parsers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Deep document layout analysis (e.g., Unstructured.io, Marker, or Microsoft Azure Form Recognizer) for multi-column academic papers, contracts, tables, and presentation slide decks.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SaaS Connectors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Pre-built sync connectors for Google Drive, Microsoft SharePoint, Notion, Atlassian Confluence, Jira, and Slack.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Incremental webhook change data capture (CDC) to trigger delta extractions automatically when corporate wikis are updated.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3.3 High-Throughput LLM Gateway &amp; Guardrails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Structured Decoding Enforcement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Adopts Pydantic / Outlines / OpenAI JSON Schema validation to guarantee that LLM extraction completions strictly conform to the YAML ontology profile without syntax or type errors.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Dynamic Model Routing &amp; Fallback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Fast, inexpensive models (e.g. Claude 3.5 Haiku / GPT-4o-mini / Llama-3.1-8B) for initial NER and text filtering.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Frontier reasoning models (Claude 3.5 Sonnet / GPT-4o / o1) for complex multi-relation extraction, stance comparison, and contradiction detection.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Entity Resolution &amp; Disambiguation (NERD)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Vector similarity search against existing graph entities combined with cross-encoder re-ranking.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Disambiguates homonyms using document context and links entities to external registries (Wikidata, SEC EDGAR, Crunchbase).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3.4 Modern WebGL Graph Frontend (Next.js &amp; React 19)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High-Performance Rendering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Replaces SVG DOM-based D3 with </w:t>
      </w:r>
      <w:r>
        <w:rPr>
          <w:rFonts w:ascii="Segoe UI" w:hAnsi="Segoe UI"/>
          <w:b/>
          <w:color w:val="24292F"/>
          <w:sz w:val="21"/>
        </w:rPr>
        <w:t>WebGL / WebGPU-accelerated graph rendering</w:t>
      </w:r>
      <w:r>
        <w:rPr>
          <w:rFonts w:ascii="Segoe UI" w:hAnsi="Segoe UI"/>
          <w:color w:val="24292F"/>
          <w:sz w:val="21"/>
        </w:rPr>
        <w:t xml:space="preserve"> (using libraries such as PixiJS, Cytoscape.js WebGL, or Cosmos / 3D-Force-Graph).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Effortlessly visualizes </w:t>
      </w:r>
      <w:r>
        <w:rPr>
          <w:rFonts w:ascii="Segoe UI" w:hAnsi="Segoe UI"/>
          <w:b/>
          <w:color w:val="24292F"/>
          <w:sz w:val="21"/>
        </w:rPr>
        <w:t>100,000+ nodes and edges</w:t>
      </w:r>
      <w:r>
        <w:rPr>
          <w:rFonts w:ascii="Segoe UI" w:hAnsi="Segoe UI"/>
          <w:color w:val="24292F"/>
          <w:sz w:val="21"/>
        </w:rPr>
        <w:t xml:space="preserve"> at a locked 60 frames per second.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State Management &amp; Collaborative Editing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Zustand or TanStack Query for reactive client-side caching.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Multi-user real-time collaborative curation powered by Yjs / CRDTs (Conflict-free Replicated Data Types) and WebSockets.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4. Enterprise Security, Governance &amp;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Security Requirement</w:t>
            </w:r>
          </w:p>
        </w:tc>
        <w:tc>
          <w:tcPr>
            <w:tcW w:type="dxa" w:w="4824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Implementation Strategy in OntoKB Enterprise</w:t>
            </w:r>
          </w:p>
        </w:tc>
      </w:tr>
      <w:tr>
        <w:tc>
          <w:tcPr>
            <w:tcW w:type="dxa" w:w="4824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Authentication &amp; SSO</w:t>
            </w:r>
          </w:p>
        </w:tc>
        <w:tc>
          <w:tcPr>
            <w:tcW w:type="dxa" w:w="4824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OpenID Connect (OIDC) &amp; SAML 2.0 integration with Okta, Microsoft Entra ID (Azure AD), Google Workspace, and Ping Identity.</w:t>
            </w:r>
          </w:p>
        </w:tc>
      </w:tr>
      <w:tr>
        <w:tc>
          <w:tcPr>
            <w:tcW w:type="dxa" w:w="4824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Role-Based Access (RBAC)</w:t>
            </w:r>
          </w:p>
        </w:tc>
        <w:tc>
          <w:tcPr>
            <w:tcW w:type="dxa" w:w="4824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Granular roles: </w:t>
            </w:r>
            <w:r>
              <w:rPr>
                <w:rFonts w:ascii="Consolas" w:hAnsi="Consolas"/>
                <w:color w:val="0550AE"/>
                <w:sz w:val="18"/>
              </w:rPr>
              <w:t>Viewer</w:t>
            </w:r>
            <w:r>
              <w:rPr>
                <w:rFonts w:ascii="Segoe UI" w:hAnsi="Segoe UI"/>
                <w:color w:val="24292F"/>
                <w:sz w:val="19"/>
              </w:rPr>
              <w:t xml:space="preserve"> (chat/query only), </w:t>
            </w:r>
            <w:r>
              <w:rPr>
                <w:rFonts w:ascii="Consolas" w:hAnsi="Consolas"/>
                <w:color w:val="0550AE"/>
                <w:sz w:val="18"/>
              </w:rPr>
              <w:t>Contributor</w:t>
            </w:r>
            <w:r>
              <w:rPr>
                <w:rFonts w:ascii="Segoe UI" w:hAnsi="Segoe UI"/>
                <w:color w:val="24292F"/>
                <w:sz w:val="19"/>
              </w:rPr>
              <w:t xml:space="preserve"> (submit articles), </w:t>
            </w:r>
            <w:r>
              <w:rPr>
                <w:rFonts w:ascii="Consolas" w:hAnsi="Consolas"/>
                <w:color w:val="0550AE"/>
                <w:sz w:val="18"/>
              </w:rPr>
              <w:t>Curator</w:t>
            </w:r>
            <w:r>
              <w:rPr>
                <w:rFonts w:ascii="Segoe UI" w:hAnsi="Segoe UI"/>
                <w:color w:val="24292F"/>
                <w:sz w:val="19"/>
              </w:rPr>
              <w:t xml:space="preserve"> (edit entities/relations), </w:t>
            </w:r>
            <w:r>
              <w:rPr>
                <w:rFonts w:ascii="Consolas" w:hAnsi="Consolas"/>
                <w:color w:val="0550AE"/>
                <w:sz w:val="18"/>
              </w:rPr>
              <w:t>Ontologist</w:t>
            </w:r>
            <w:r>
              <w:rPr>
                <w:rFonts w:ascii="Segoe UI" w:hAnsi="Segoe UI"/>
                <w:color w:val="24292F"/>
                <w:sz w:val="19"/>
              </w:rPr>
              <w:t xml:space="preserve"> (modify core schema), </w:t>
            </w:r>
            <w:r>
              <w:rPr>
                <w:rFonts w:ascii="Consolas" w:hAnsi="Consolas"/>
                <w:color w:val="0550AE"/>
                <w:sz w:val="18"/>
              </w:rPr>
              <w:t>Admin</w:t>
            </w:r>
            <w:r>
              <w:rPr>
                <w:rFonts w:ascii="Segoe UI" w:hAnsi="Segoe UI"/>
                <w:color w:val="24292F"/>
                <w:sz w:val="19"/>
              </w:rPr>
              <w:t xml:space="preserve"> (tenant management).</w:t>
            </w:r>
          </w:p>
        </w:tc>
      </w:tr>
      <w:tr>
        <w:tc>
          <w:tcPr>
            <w:tcW w:type="dxa" w:w="4824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Multi-Tenancy</w:t>
            </w:r>
          </w:p>
        </w:tc>
        <w:tc>
          <w:tcPr>
            <w:tcW w:type="dxa" w:w="4824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Physical or logical schema partitioning per enterprise organization; cross-tenant data leakage mathematically prevented via tenant-keyed query decorators.</w:t>
            </w:r>
          </w:p>
        </w:tc>
      </w:tr>
      <w:tr>
        <w:tc>
          <w:tcPr>
            <w:tcW w:type="dxa" w:w="4824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Attribute-Based Access (ABAC)</w:t>
            </w:r>
          </w:p>
        </w:tc>
        <w:tc>
          <w:tcPr>
            <w:tcW w:type="dxa" w:w="4824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Sensitivity labels on documents (e.g. </w:t>
            </w:r>
            <w:r>
              <w:rPr>
                <w:rFonts w:ascii="Consolas" w:hAnsi="Consolas"/>
                <w:color w:val="0550AE"/>
                <w:sz w:val="18"/>
              </w:rPr>
              <w:t>Confidential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Internal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0550AE"/>
                <w:sz w:val="18"/>
              </w:rPr>
              <w:t>Public</w:t>
            </w:r>
            <w:r>
              <w:rPr>
                <w:rFonts w:ascii="Segoe UI" w:hAnsi="Segoe UI"/>
                <w:color w:val="24292F"/>
                <w:sz w:val="19"/>
              </w:rPr>
              <w:t>); subgraphs inherit document security classifications, redacting unauthorized nodes from search results.</w:t>
            </w:r>
          </w:p>
        </w:tc>
      </w:tr>
      <w:tr>
        <w:tc>
          <w:tcPr>
            <w:tcW w:type="dxa" w:w="4824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Data Encryption</w:t>
            </w:r>
          </w:p>
        </w:tc>
        <w:tc>
          <w:tcPr>
            <w:tcW w:type="dxa" w:w="4824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Envelope encryption with AES-256 for all databases and object storage; TLS 1.3 for all in-transit communications. Customer-Managed Encryption Keys (CMEK) via AWS KMS or HashiCorp Vault.</w:t>
            </w:r>
          </w:p>
        </w:tc>
      </w:tr>
      <w:tr>
        <w:tc>
          <w:tcPr>
            <w:tcW w:type="dxa" w:w="4824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Regulatory Compliance</w:t>
            </w:r>
          </w:p>
        </w:tc>
        <w:tc>
          <w:tcPr>
            <w:tcW w:type="dxa" w:w="4824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Full audit trail supporting SOC2 Type II, ISO 27001, GDPR "Right to be Forgotten" (cascade entity redaction), and HIPAA Business Associate Agreement readiness.</w:t>
            </w:r>
          </w:p>
        </w:tc>
      </w:tr>
    </w:tbl>
    <w:p>
      <w:pPr>
        <w:spacing w:after="12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5. Phased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gantt</w:t>
              <w:br/>
              <w:t xml:space="preserve">    title OntoKB Enterprise Transformation Roadmap</w:t>
              <w:br/>
              <w:t xml:space="preserve">    dateFormat  YYYY-MM</w:t>
              <w:br/>
              <w:t xml:space="preserve">    section Phase 1: Core Foundation</w:t>
              <w:br/>
              <w:t xml:space="preserve">    Migrate to FastAPI &amp; Async I/O           :p1_1, 2026-10, 2026-11</w:t>
              <w:br/>
              <w:t xml:space="preserve">    PostgreSQL &amp; pgvector Migration          :p1_2, 2026-10, 2026-11</w:t>
              <w:br/>
              <w:t xml:space="preserve">    Docker &amp; Helm Packaging                  :p1_3, 2026-11, 2026-12</w:t>
              <w:br/>
              <w:t xml:space="preserve">    section Phase 2: Enterprise ETL</w:t>
              <w:br/>
              <w:t xml:space="preserve">    Celery / Redis Ingestion Worker Pool    :p2_1, 2026-12, 2027-01</w:t>
              <w:br/>
              <w:t xml:space="preserve">    PDF &amp; Office Document Parsers            :p2_2, 2027-01, 2027-02</w:t>
              <w:br/>
              <w:t xml:space="preserve">    Headless Web Crawler Integration         :p2_3, 2027-01, 2027-02</w:t>
              <w:br/>
              <w:t xml:space="preserve">    section Phase 3: Graph Scale &amp; UI</w:t>
              <w:br/>
              <w:t xml:space="preserve">    Neo4j / Memgraph Integration             :p3_1, 2027-02, 2027-03</w:t>
              <w:br/>
              <w:t xml:space="preserve">    Next.js + WebGL Graph Frontend           :p3_2, 2027-03, 2027-04</w:t>
              <w:br/>
              <w:t xml:space="preserve">    OIDC / SAML SSO &amp; RBAC Engine            :p3_3, 2027-03, 2027-04</w:t>
              <w:br/>
              <w:t xml:space="preserve">    section Phase 4: Intelligence &amp; Multi-Tenancy</w:t>
              <w:br/>
              <w:t xml:space="preserve">    Multi-Tenant Namespace Partitioning      :p4_1, 2027-04, 2027-05</w:t>
              <w:br/>
              <w:t xml:space="preserve">    Real-Time CRDT Collaborative Curation    :p4_2, 2027-05, 2027-06</w:t>
              <w:br/>
              <w:t xml:space="preserve">    Enterprise Observability &amp; OpenTelemetry :p4_3, 2027-05, 2027-06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Detailed Phase Breakdown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Phase 1: Architecture Modernization &amp; Reliability (Months 1–2)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Goal</w:t>
      </w:r>
      <w:r>
        <w:rPr>
          <w:rFonts w:ascii="Segoe UI" w:hAnsi="Segoe UI"/>
          <w:color w:val="24292F"/>
          <w:sz w:val="21"/>
        </w:rPr>
        <w:t>: Eliminate single-file database locks and server crashes.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Key Tasks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1. Replace </w:t>
      </w:r>
      <w:r>
        <w:rPr>
          <w:rFonts w:ascii="Consolas" w:hAnsi="Consolas"/>
          <w:color w:val="0550AE"/>
          <w:sz w:val="20"/>
        </w:rPr>
        <w:t>ThreadingHTTPServer</w:t>
      </w:r>
      <w:r>
        <w:rPr>
          <w:rFonts w:ascii="Segoe UI" w:hAnsi="Segoe UI"/>
          <w:color w:val="24292F"/>
          <w:sz w:val="21"/>
        </w:rPr>
        <w:t xml:space="preserve"> with asynchronous </w:t>
      </w:r>
      <w:r>
        <w:rPr>
          <w:rFonts w:ascii="Segoe UI" w:hAnsi="Segoe UI"/>
          <w:b/>
          <w:color w:val="24292F"/>
          <w:sz w:val="21"/>
        </w:rPr>
        <w:t>FastAPI</w:t>
      </w:r>
      <w:r>
        <w:rPr>
          <w:rFonts w:ascii="Segoe UI" w:hAnsi="Segoe UI"/>
          <w:color w:val="24292F"/>
          <w:sz w:val="21"/>
        </w:rPr>
        <w:t xml:space="preserve"> running on Uvicorn.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2. Migrate SQLite storage to </w:t>
      </w:r>
      <w:r>
        <w:rPr>
          <w:rFonts w:ascii="Segoe UI" w:hAnsi="Segoe UI"/>
          <w:b/>
          <w:color w:val="24292F"/>
          <w:sz w:val="21"/>
        </w:rPr>
        <w:t>PostgreSQL</w:t>
      </w:r>
      <w:r>
        <w:rPr>
          <w:rFonts w:ascii="Segoe UI" w:hAnsi="Segoe UI"/>
          <w:color w:val="24292F"/>
          <w:sz w:val="21"/>
        </w:rPr>
        <w:t xml:space="preserve"> with connection pooling (</w:t>
      </w:r>
      <w:r>
        <w:rPr>
          <w:rFonts w:ascii="Consolas" w:hAnsi="Consolas"/>
          <w:color w:val="0550AE"/>
          <w:sz w:val="20"/>
        </w:rPr>
        <w:t>pgbouncer</w:t>
      </w:r>
      <w:r>
        <w:rPr>
          <w:rFonts w:ascii="Segoe UI" w:hAnsi="Segoe UI"/>
          <w:color w:val="24292F"/>
          <w:sz w:val="21"/>
        </w:rPr>
        <w:t>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3. Integrate </w:t>
      </w:r>
      <w:r>
        <w:rPr>
          <w:rFonts w:ascii="Consolas" w:hAnsi="Consolas"/>
          <w:color w:val="0550AE"/>
          <w:sz w:val="20"/>
        </w:rPr>
        <w:t>pgvector</w:t>
      </w:r>
      <w:r>
        <w:rPr>
          <w:rFonts w:ascii="Segoe UI" w:hAnsi="Segoe UI"/>
          <w:color w:val="24292F"/>
          <w:sz w:val="21"/>
        </w:rPr>
        <w:t xml:space="preserve"> to enable baseline semantic vector search.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4. Containerize the entire system with Docker and Docker Compose.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Phase 2: Enterprise ETL &amp; Scalable Ingestion (Months 3–4)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Goal</w:t>
      </w:r>
      <w:r>
        <w:rPr>
          <w:rFonts w:ascii="Segoe UI" w:hAnsi="Segoe UI"/>
          <w:color w:val="24292F"/>
          <w:sz w:val="21"/>
        </w:rPr>
        <w:t>: Ingest any document format asynchronously without blocking user requests.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Key Tasks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1. Implement Celery / Redis task queue to decouple ingestion from the web API.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2. Build document parsers for PDF, DOCX, PPTX, and HTML using Marker and Trafilatura.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3. Integrate Playwright for automated web article link crawling.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4. Connect LiteLLM gateway with structured Pydantic extraction schemas.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Phase 3: High-Performance Graph &amp; Modern UI (Months 5–6)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Goal</w:t>
      </w:r>
      <w:r>
        <w:rPr>
          <w:rFonts w:ascii="Segoe UI" w:hAnsi="Segoe UI"/>
          <w:color w:val="24292F"/>
          <w:sz w:val="21"/>
        </w:rPr>
        <w:t>: Support 100,000+ nodes and enterprise security.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Key Tasks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1. Implement a storage adapter for </w:t>
      </w:r>
      <w:r>
        <w:rPr>
          <w:rFonts w:ascii="Segoe UI" w:hAnsi="Segoe UI"/>
          <w:b/>
          <w:color w:val="24292F"/>
          <w:sz w:val="21"/>
        </w:rPr>
        <w:t>Neo4j / Memgraph</w:t>
      </w:r>
      <w:r>
        <w:rPr>
          <w:rFonts w:ascii="Segoe UI" w:hAnsi="Segoe UI"/>
          <w:color w:val="24292F"/>
          <w:sz w:val="21"/>
        </w:rPr>
        <w:t xml:space="preserve"> for deep multi-hop graph queries.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2. Rewrite the frontend in </w:t>
      </w:r>
      <w:r>
        <w:rPr>
          <w:rFonts w:ascii="Segoe UI" w:hAnsi="Segoe UI"/>
          <w:b/>
          <w:color w:val="24292F"/>
          <w:sz w:val="21"/>
        </w:rPr>
        <w:t>Next.js / React 19</w:t>
      </w:r>
      <w:r>
        <w:rPr>
          <w:rFonts w:ascii="Segoe UI" w:hAnsi="Segoe UI"/>
          <w:color w:val="24292F"/>
          <w:sz w:val="21"/>
        </w:rPr>
        <w:t xml:space="preserve"> with a WebGL/PixiJS graph renderer.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3. Implement OIDC/SAML single sign-on and role-based access control.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Phase 4: Multi-Tenancy, Collaboration &amp; Governance (Months 7–8)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Goal</w:t>
      </w:r>
      <w:r>
        <w:rPr>
          <w:rFonts w:ascii="Segoe UI" w:hAnsi="Segoe UI"/>
          <w:color w:val="24292F"/>
          <w:sz w:val="21"/>
        </w:rPr>
        <w:t>: Full enterprise-ready deployment with team collaboration.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Key Tasks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1. Multi-tenant logical isolation and workspace management.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2. Real-time collaborative curation via WebSockets and CRDTs.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3. Complete OpenTelemetry tracing, Prometheus metrics, and SOC2 audit compliance.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