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Charter Review</w:t>
      </w:r>
    </w:p>
    <w:p>
      <w:pPr>
        <w:pStyle w:val="Subtitle"/>
      </w:pPr>
      <w:r>
        <w:t>Consolidated feedback for all project teams</w:t>
      </w:r>
    </w:p>
    <w:p>
      <w:pPr>
        <w:spacing w:after="320"/>
      </w:pPr>
      <w:r>
        <w:t>15 October 2026</w:t>
      </w:r>
    </w:p>
    <w:p>
      <w:pPr>
        <w:pStyle w:val="Heading1"/>
      </w:pPr>
      <w:r>
        <w:t>Overall assessment</w:t>
      </w:r>
    </w:p>
    <w:p>
      <w:r>
        <w:t>The two Internal Policy QA charters are closest to an executable mini-project plan, but their acceptance criteria need stronger safeguards. Both OntoKb-E charters promise a platform transformation within 80 person-hours each and require substantial scope reduction. SenseVoice needs a feasible individual schedule, consistent budget figures and clearer capacity commitments. The original speech project charter also needs an explicit relationship to the subteam variant.</w:t>
      </w:r>
    </w:p>
    <w:p>
      <w:pPr>
        <w:spacing w:after="180"/>
      </w:pPr>
      <w:r>
        <w:rPr>
          <w:b/>
        </w:rPr>
        <w:t xml:space="preserve">Purpose and audience. </w:t>
      </w:r>
      <w:r>
        <w:t>This review gives project managers, technical leads, contributors and sponsors a common set of revisions to resolve before approving delivery commitments. It consolidates the earlier five charter reviews in English and adds the newly submitted OntoKb-E Subteam 2 review.</w:t>
      </w:r>
    </w:p>
    <w:p>
      <w:pPr>
        <w:spacing w:after="180"/>
      </w:pPr>
      <w:r>
        <w:rPr>
          <w:b/>
        </w:rPr>
        <w:t xml:space="preserve">Priority 1  Resolve the OntoKb-E delivery model. </w:t>
      </w:r>
      <w:r>
        <w:t>The two subteams describe essentially the same platform transformation, effort allocation, cash budget and acceptance criteria. Decide whether they are independent comparison prototypes or collaborating workstreams, then define separate ownership and deliverables.</w:t>
      </w:r>
    </w:p>
    <w:p>
      <w:pPr>
        <w:spacing w:after="180"/>
      </w:pPr>
      <w:r>
        <w:rPr>
          <w:b/>
        </w:rPr>
        <w:t xml:space="preserve">Priority 2  Make commitments fit available effort. </w:t>
      </w:r>
      <w:r>
        <w:t>Reduce the OntoKb-E mandatory scope. Reconcile SenseVoice individual hours with stated daily availability. Give every mandatory deliverable an owner and delivery date.</w:t>
      </w:r>
    </w:p>
    <w:p>
      <w:pPr>
        <w:spacing w:after="180"/>
      </w:pPr>
      <w:r>
        <w:rPr>
          <w:b/>
        </w:rPr>
        <w:t xml:space="preserve">Priority 3  Close acceptance loopholes. </w:t>
      </w:r>
      <w:r>
        <w:t>Prevent success through answering nothing, leaving every rule unresolved, linking only a few easy document pairs, or admitting almost no speech sessions. Freeze evaluation data, denominators and approval rules before final testing.</w:t>
      </w:r>
    </w:p>
    <w:p>
      <w:pPr>
        <w:spacing w:after="180"/>
      </w:pPr>
      <w:r>
        <w:rPr>
          <w:b/>
        </w:rPr>
        <w:t xml:space="preserve">Priority 4  Align project documents. </w:t>
      </w:r>
      <w:r>
        <w:t>Confirm which speech charter governs scope and infrastructure. Reconcile budgets, resource assumptions and approval fields. Distinguish mandatory deliverables from optional experiments.</w:t>
      </w:r>
    </w:p>
    <w:p>
      <w:pPr>
        <w:spacing w:before="100"/>
      </w:pPr>
      <w:r>
        <w:rPr>
          <w:i/>
        </w:rPr>
        <w:t>The assessments below are review recommendations, not sponsor approval decisions. Each project section identifies the source charter and its relevant numbered sections.</w:t>
      </w:r>
    </w:p>
    <w:p>
      <w:r>
        <w:br w:type="page"/>
      </w:r>
    </w:p>
    <w:p>
      <w:pPr>
        <w:pStyle w:val="Heading1"/>
      </w:pPr>
      <w:r>
        <w:t>1  OntoKb E Subteam 1</w:t>
      </w:r>
    </w:p>
    <w:p>
      <w:pPr>
        <w:spacing w:after="200"/>
      </w:pPr>
      <w:r>
        <w:rPr>
          <w:b/>
          <w:sz w:val="18"/>
        </w:rPr>
        <w:t xml:space="preserve">Source: </w:t>
      </w:r>
      <w:r>
        <w:rPr>
          <w:sz w:val="18"/>
        </w:rPr>
        <w:t>OntoKb-E_Project_Charter_subteam1.docx</w:t>
      </w:r>
    </w:p>
    <w:p>
      <w:r>
        <w:t>Assessment: substantial rescoping is needed before the 80 person-hour delivery commitment is credible.</w:t>
      </w:r>
    </w:p>
    <w:p>
      <w:pPr>
        <w:spacing w:after="180"/>
      </w:pPr>
      <w:r>
        <w:rPr>
          <w:b/>
        </w:rPr>
        <w:t xml:space="preserve">Scope exceeds the available effort. </w:t>
      </w:r>
      <w:r>
        <w:t>Sections 2 and 3 include ontology redesign, domain packs, cross-document linking, retrieval redesign, workflow orchestration, a model gateway, Workbench, SSO, multi-tenancy, audit, horizontal scaling and CI/CD. The two development phases receive only 22 person-hours each. In this review, that allocation does not credibly support implementation and validation of the full stated scope.</w:t>
      </w:r>
    </w:p>
    <w:p>
      <w:pPr>
        <w:spacing w:after="180"/>
      </w:pPr>
      <w:r>
        <w:rPr>
          <w:b/>
        </w:rPr>
        <w:t xml:space="preserve">Database restriction needs a feasibility explanation. </w:t>
      </w:r>
      <w:r>
        <w:t>Section 2 excludes PostgreSQL schema, table and index changes while requiring versioning, state machines, tenant isolation and audit capabilities. This is not proof of impossibility, but the charter must explain how the existing data structures support these requirements and what happens if they do not.</w:t>
      </w:r>
    </w:p>
    <w:p>
      <w:pPr>
        <w:spacing w:after="180"/>
      </w:pPr>
      <w:r>
        <w:rPr>
          <w:b/>
        </w:rPr>
        <w:t xml:space="preserve">Risk probability is too optimistic. </w:t>
      </w:r>
      <w:r>
        <w:t>Section 6 rates effort overrun as Low probability despite the breadth of work. Deferring lower-priority items is not actionable until those items and the mandatory minimum are named. Reassess the risk after breaking down the work.</w:t>
      </w:r>
    </w:p>
    <w:p>
      <w:pPr>
        <w:spacing w:after="180"/>
      </w:pPr>
      <w:r>
        <w:rPr>
          <w:b/>
        </w:rPr>
        <w:t xml:space="preserve">Acceptance criteria do not cover the promises. </w:t>
      </w:r>
      <w:r>
        <w:t>Section 7 requires at least 85% precision for document linking but gives no recall or minimum coverage requirement. A small set of easy links could satisfy it. Tenant isolation, lifecycle transitions, audit completeness and scaling also need explicit checks. A 100% UAT target needs a fixed test inventory and acceptance owner.</w:t>
      </w:r>
    </w:p>
    <w:p>
      <w:pPr>
        <w:spacing w:after="180"/>
      </w:pPr>
      <w:r>
        <w:rPr>
          <w:b/>
        </w:rPr>
        <w:t xml:space="preserve">Schedule and authority remain incomplete. </w:t>
      </w:r>
      <w:r>
        <w:t>Section 3 lists effort rather than actual start and finish dates; the sponsor is blank. Name the sponsor, establish delivery dates and specify who approves scope reductions.</w:t>
      </w:r>
    </w:p>
    <w:p>
      <w:pPr>
        <w:spacing w:before="100"/>
      </w:pPr>
      <w:r>
        <w:rPr>
          <w:i/>
        </w:rPr>
        <w:t>Recommended revision: make one complete, small demonstration mandatory, such as onboarding one domain pack by configuration and exercising one object lifecycle. Move the remaining platform capabilities into a later roadmap and re-estimate them. Coordinate this boundary with Subteam 2 before development.</w:t>
      </w:r>
    </w:p>
    <w:p>
      <w:r>
        <w:br w:type="page"/>
      </w:r>
    </w:p>
    <w:p>
      <w:pPr>
        <w:pStyle w:val="Heading1"/>
      </w:pPr>
      <w:r>
        <w:t>2  OntoKb E Subteam 2</w:t>
      </w:r>
    </w:p>
    <w:p>
      <w:pPr>
        <w:spacing w:after="200"/>
      </w:pPr>
      <w:r>
        <w:rPr>
          <w:b/>
          <w:sz w:val="18"/>
        </w:rPr>
        <w:t xml:space="preserve">Source: </w:t>
      </w:r>
      <w:r>
        <w:rPr>
          <w:sz w:val="18"/>
        </w:rPr>
        <w:t>Project_Charter_subteam_2.docx</w:t>
      </w:r>
    </w:p>
    <w:p>
      <w:r>
        <w:t>Assessment: the newly submitted charter has the same major feasibility issues as Subteam 1 and adds an unresolved cross-team ownership problem.</w:t>
      </w:r>
    </w:p>
    <w:p>
      <w:pPr>
        <w:spacing w:after="180"/>
      </w:pPr>
      <w:r>
        <w:rPr>
          <w:b/>
        </w:rPr>
        <w:t xml:space="preserve">The two subteams have no distinct work boundary. </w:t>
      </w:r>
      <w:r>
        <w:t>Sections 1 to 3 substantially repeat Subteam 1: the same purpose, platform capabilities and 10/22/22/20/6 person-hour phase allocation. Pooja, Jaiadithya and Balachandra are named for Subteam 2, but different people alone do not define a separate project. State whether the teams build independent alternatives or jointly deliver one platform.</w:t>
      </w:r>
    </w:p>
    <w:p>
      <w:pPr>
        <w:spacing w:after="180"/>
      </w:pPr>
      <w:r>
        <w:rPr>
          <w:b/>
        </w:rPr>
        <w:t xml:space="preserve">The same broad scope is still assigned 80 person-hours. </w:t>
      </w:r>
      <w:r>
        <w:t>Only 44 person-hours are allocated to the two development phases, yet they cover ontology and action runtime, domain packs, identity, multi-tenancy, approvals, audit, retrieval, orchestration, model services and the control plane. Reduce mandatory scope and assign ownership at deliverable level. The Low probability rating for effort overrun in section 6 should be revisited.</w:t>
      </w:r>
    </w:p>
    <w:p>
      <w:pPr>
        <w:spacing w:after="180"/>
      </w:pPr>
      <w:r>
        <w:rPr>
          <w:b/>
        </w:rPr>
        <w:t xml:space="preserve">The unchanged database assumption remains unresolved. </w:t>
      </w:r>
      <w:r>
        <w:t>Section 2 excludes all PostgreSQL schema, table and index changes. Explain how tenant isolation, versioned objects, lifecycle enforcement and audit storage will work within that restriction. Unlike Subteam 1, this charter does not include a specific risk entry for the database constraint.</w:t>
      </w:r>
    </w:p>
    <w:p>
      <w:pPr>
        <w:spacing w:after="180"/>
      </w:pPr>
      <w:r>
        <w:rPr>
          <w:b/>
        </w:rPr>
        <w:t xml:space="preserve">Acceptance leaves important outcomes untested. </w:t>
      </w:r>
      <w:r>
        <w:t>Section 7 repeats the 85% precision target without recall, sample size or minimum coverage. Security acceptance states authenticated services and zero Critical vulnerabilities but does not define the service inventory, test coverage or tenant isolation checks. The 80 person-hour limit is a constraint but has no matching success criterion, unlike Subteam 1.</w:t>
      </w:r>
    </w:p>
    <w:p>
      <w:pPr>
        <w:spacing w:after="180"/>
      </w:pPr>
      <w:r>
        <w:rPr>
          <w:b/>
        </w:rPr>
        <w:t xml:space="preserve">Budget ownership and dates need clarification. </w:t>
      </w:r>
      <w:r>
        <w:t>The JPY 27,500 arithmetic is consistent, but the same budget appears in both subteam charters. Clarify whether infrastructure and API allowances are separate or shared; do not assume a combined JPY 55,000 authorization. Section 3 contains no calendar dates, and the sponsor is blank.</w:t>
      </w:r>
    </w:p>
    <w:p>
      <w:pPr>
        <w:spacing w:after="180"/>
      </w:pPr>
      <w:r>
        <w:rPr>
          <w:b/>
        </w:rPr>
        <w:t xml:space="preserve">Template residue reduces readiness for circulation. </w:t>
      </w:r>
      <w:r>
        <w:t>Remove Guide blocks, empty references such as Project Plan (), the empty revision row and the trailing fragment cy against your actual project details. Complete required identifiers and approval details consistently.</w:t>
      </w:r>
    </w:p>
    <w:p>
      <w:pPr>
        <w:spacing w:before="100"/>
      </w:pPr>
      <w:r>
        <w:rPr>
          <w:i/>
        </w:rPr>
        <w:t>Recommended revision: first choose the delivery model. For collaboration, a possible split is Subteam 1 owning the domain-pack configuration path and Subteam 2 owning one ontology/action-runtime slice with tests. This is a proposed split, not an existing agreement; both charters must name the shared interface and integration owner. For independent alternatives, define a common benchmark and separate prototypes instead.</w:t>
      </w:r>
    </w:p>
    <w:p>
      <w:r>
        <w:br w:type="page"/>
      </w:r>
    </w:p>
    <w:p>
      <w:pPr>
        <w:pStyle w:val="Heading1"/>
      </w:pPr>
      <w:r>
        <w:t>3  SenseVoice Subteam 2</w:t>
      </w:r>
    </w:p>
    <w:p>
      <w:pPr>
        <w:spacing w:after="200"/>
      </w:pPr>
      <w:r>
        <w:rPr>
          <w:b/>
          <w:sz w:val="18"/>
        </w:rPr>
        <w:t xml:space="preserve">Source: </w:t>
      </w:r>
      <w:r>
        <w:rPr>
          <w:sz w:val="18"/>
        </w:rPr>
        <w:t>Project_Charter_SubTeam2_SenseVoiceV2.docx</w:t>
      </w:r>
    </w:p>
    <w:p>
      <w:r>
        <w:t>Assessment: the charter has useful numerical targets, but the individual schedule, budget and mandatory infrastructure scope are inconsistent.</w:t>
      </w:r>
    </w:p>
    <w:p>
      <w:pPr>
        <w:spacing w:after="180"/>
      </w:pPr>
      <w:r>
        <w:rPr>
          <w:b/>
        </w:rPr>
        <w:t xml:space="preserve">Individual hours exceed stated availability. </w:t>
      </w:r>
      <w:r>
        <w:t>Section 2 assumes about two hours per member per working day. Section 3 gives Agalya eight hours across two design days and 36 hours across nine development weekdays, approximately four hours per day in both phases. Her total allocation is 60 hours, requiring at least 30 working days at two hours per day, beyond the roughly four-week plan. Reallocate work or explicitly confirm different availability.</w:t>
      </w:r>
    </w:p>
    <w:p>
      <w:pPr>
        <w:spacing w:after="180"/>
      </w:pPr>
      <w:r>
        <w:rPr>
          <w:b/>
        </w:rPr>
        <w:t xml:space="preserve">Budget figures disagree. </w:t>
      </w:r>
      <w:r>
        <w:t>Constraints state JPY 8,800, while section 4 totals JPY 9,000. The JPY 8,000 subtotal has a JPY 1,000 contingency labelled 10%; 10% would be JPY 800. Select one consistent budget. Explain API calls under Other Expenses given the exclusion of paid inference APIs.</w:t>
      </w:r>
    </w:p>
    <w:p>
      <w:pPr>
        <w:spacing w:after="180"/>
      </w:pPr>
      <w:r>
        <w:rPr>
          <w:b/>
        </w:rPr>
        <w:t xml:space="preserve">Mandatory scope and risk responses do not align. </w:t>
      </w:r>
      <w:r>
        <w:t>Section 6 admits that 80 hours may not cover HA, while sections 2 and 7 still commit to Kubernetes, two warm replicas and worker-failure recovery. Confirm resources early and define a sponsor-approved minimum scope and downgrade decision. A single-host exercise cannot satisfy a two-host recovery commitment.</w:t>
      </w:r>
    </w:p>
    <w:p>
      <w:pPr>
        <w:spacing w:after="180"/>
      </w:pPr>
      <w:r>
        <w:rPr>
          <w:b/>
        </w:rPr>
        <w:t xml:space="preserve">Latency and capacity definitions are incomplete. </w:t>
      </w:r>
      <w:r>
        <w:t>The Japanese baseline reports p95 latency of 2.15 seconds, but does not identify whether it measures first partial text, finalized text or inference time. It cannot be directly compared with the two-second first-partial target. Define C1/CN/CF, minimum admitted concurrency, offered load and admission rate; a 99% completion rate for admitted sessions alone can pass at negligible admission.</w:t>
      </w:r>
    </w:p>
    <w:p>
      <w:pPr>
        <w:spacing w:after="180"/>
      </w:pPr>
      <w:r>
        <w:rPr>
          <w:b/>
        </w:rPr>
        <w:t xml:space="preserve">Recovery criteria need session semantics. </w:t>
      </w:r>
      <w:r>
        <w:t>Specify when the 30-second replica and 60-second worker recovery clocks start and stop, whether recovery means readiness or usable service, and how in-flight audio, reconnects and duplicate transcript lines are handled. Define the session population and duration used for reliability measurement.</w:t>
      </w:r>
    </w:p>
    <w:p>
      <w:pPr>
        <w:spacing w:after="180"/>
      </w:pPr>
      <w:r>
        <w:rPr>
          <w:b/>
        </w:rPr>
        <w:t xml:space="preserve">Document fields and terminology need cleanup. </w:t>
      </w:r>
      <w:r>
        <w:t>Complete the sponsor and document number. Replace empty Project Plan references and explain or remove six delivery stages and hybrid, which are not mapped to the stated scope.</w:t>
      </w:r>
    </w:p>
    <w:p>
      <w:pPr>
        <w:spacing w:before="100"/>
      </w:pPr>
      <w:r>
        <w:rPr>
          <w:i/>
        </w:rPr>
        <w:t>Recommended revision: make model integration, a single-host Docker deployment, fixed-dataset evaluation and reproducible handover mandatory. Confirm whether Kubernetes and host-failure recovery remain mandatory only after resources and a feasible individual schedule are established.</w:t>
      </w:r>
    </w:p>
    <w:p>
      <w:r>
        <w:br w:type="page"/>
      </w:r>
    </w:p>
    <w:p>
      <w:pPr>
        <w:pStyle w:val="Heading1"/>
      </w:pPr>
      <w:r>
        <w:t>4  Internal Policy QA Subteam 1</w:t>
      </w:r>
    </w:p>
    <w:p>
      <w:pPr>
        <w:spacing w:after="200"/>
      </w:pPr>
      <w:r>
        <w:rPr>
          <w:b/>
          <w:sz w:val="18"/>
        </w:rPr>
        <w:t xml:space="preserve">Source: </w:t>
      </w:r>
      <w:r>
        <w:rPr>
          <w:sz w:val="18"/>
        </w:rPr>
        <w:t>Internal Policy QA Mini Project – Subteam 1.docx</w:t>
      </w:r>
    </w:p>
    <w:p>
      <w:r>
        <w:t>Assessment: the bounded Agentic RAG scope is reasonable for a prototype, but acceptance must establish usefulness as well as safe behavior.</w:t>
      </w:r>
    </w:p>
    <w:p>
      <w:pPr>
        <w:spacing w:after="180"/>
      </w:pPr>
      <w:r>
        <w:rPr>
          <w:b/>
        </w:rPr>
        <w:t xml:space="preserve">Define the research decision before testing. </w:t>
      </w:r>
      <w:r>
        <w:t>Sections 1 and 7 emphasize deliverables, traces and completed tests without a clear rule for judging improvement over the frozen baseline. A valid research outcome may be no improvement, but the comparison method and resulting adopt, revise or retain-baseline decision should be agreed in advance.</w:t>
      </w:r>
    </w:p>
    <w:p>
      <w:pPr>
        <w:spacing w:after="180"/>
      </w:pPr>
      <w:r>
        <w:rPr>
          <w:b/>
        </w:rPr>
        <w:t xml:space="preserve">Prevent success through excessive abstention. </w:t>
      </w:r>
      <w:r>
        <w:t>No unsupported policy claim is an appropriate safeguard, but it can be satisfied by refusing every question. Pair it with correctness or answer coverage on questions that have sufficient evidence, plus an explicit abstention measure. Report these alongside grounding and latency.</w:t>
      </w:r>
    </w:p>
    <w:p>
      <w:pPr>
        <w:spacing w:after="180"/>
      </w:pPr>
      <w:r>
        <w:rPr>
          <w:b/>
        </w:rPr>
        <w:t xml:space="preserve">Clarify the deadline and fallback budget. </w:t>
      </w:r>
      <w:r>
        <w:t>Section 2 limits the agent to three retrieval rounds and a 30-second request deadline. If fallback starts only after 30 seconds, the legacy path may exceed that deadline. Define a total request budget, reserve fallback time, and specify the final response when the remaining time is insufficient.</w:t>
      </w:r>
    </w:p>
    <w:p>
      <w:pPr>
        <w:spacing w:after="180"/>
      </w:pPr>
      <w:r>
        <w:rPr>
          <w:b/>
        </w:rPr>
        <w:t xml:space="preserve">Bound the evaluation claim. </w:t>
      </w:r>
      <w:r>
        <w:t>The 15 to 20 cases in section 7 can support exploratory findings, but should cover normal, weak-evidence, multi-hop, conflicting-evidence and failure scenarios. Separate development cases from final evaluation cases and define repeat runs. Do not generalize a small-set result beyond its tested scenarios.</w:t>
      </w:r>
    </w:p>
    <w:p>
      <w:pPr>
        <w:spacing w:after="180"/>
      </w:pPr>
      <w:r>
        <w:rPr>
          <w:b/>
        </w:rPr>
        <w:t xml:space="preserve">Close ownership and approval gaps. </w:t>
      </w:r>
      <w:r>
        <w:t>All phase dates are TBD. Assign named owners to implementation, evaluation and handover. Reconcile the front-page Tech Lead field with the overall and subteam leads in section 5. Name the HR reviewer and the person authorized to accept test exceptions. The phrase pass or accepted exceptions needs a controlled exception process.</w:t>
      </w:r>
    </w:p>
    <w:p>
      <w:pPr>
        <w:spacing w:before="100"/>
      </w:pPr>
      <w:r>
        <w:rPr>
          <w:i/>
        </w:rPr>
        <w:t>Recommended revision: by the end of Phase 1, freeze the baseline, final evaluation cases, scoring rules, answer and abstention definitions, latency measurement and fallback behavior. Name the final evaluator and state how the experiment informs the next project decision.</w:t>
      </w:r>
    </w:p>
    <w:p>
      <w:r>
        <w:br w:type="page"/>
      </w:r>
    </w:p>
    <w:p>
      <w:pPr>
        <w:pStyle w:val="Heading1"/>
      </w:pPr>
      <w:r>
        <w:t>5  Internal Policy QA Subteam 2</w:t>
      </w:r>
    </w:p>
    <w:p>
      <w:pPr>
        <w:spacing w:after="200"/>
      </w:pPr>
      <w:r>
        <w:rPr>
          <w:b/>
          <w:sz w:val="18"/>
        </w:rPr>
        <w:t xml:space="preserve">Source: </w:t>
      </w:r>
      <w:r>
        <w:rPr>
          <w:sz w:val="18"/>
        </w:rPr>
        <w:t>Internal Policy QA Mini Project – Subteam 2.docx</w:t>
      </w:r>
    </w:p>
    <w:p>
      <w:r>
        <w:t>Assessment: the lightweight ontology and rule prototype is appropriately bounded in principle, but deterministic execution does not establish policy correctness.</w:t>
      </w:r>
    </w:p>
    <w:p>
      <w:pPr>
        <w:spacing w:after="180"/>
      </w:pPr>
      <w:r>
        <w:rPr>
          <w:b/>
        </w:rPr>
        <w:t xml:space="preserve">Specify the policy slice and minimum coverage. </w:t>
      </w:r>
      <w:r>
        <w:t>Sections 1 and 2 refer to agreed representative scenarios without listing a policy domain, rule inventory or minimum number of reviewed executable rules. Define exactly what the 80 person-hours will cover and which exceptions are excluded.</w:t>
      </w:r>
    </w:p>
    <w:p>
      <w:pPr>
        <w:spacing w:after="180"/>
      </w:pPr>
      <w:r>
        <w:rPr>
          <w:b/>
        </w:rPr>
        <w:t xml:space="preserve">Prevent success with only unresolved rules. </w:t>
      </w:r>
      <w:r>
        <w:t>Section 7 accepts an approved source reference or explicit unresolved status for every rule. Taken literally, all rules could remain unresolved while the criterion passes. Require a minimum accepted executable set. Unresolved rules should return an explicit unresolved result rather than a definitive policy conclusion.</w:t>
      </w:r>
    </w:p>
    <w:p>
      <w:pPr>
        <w:spacing w:after="180"/>
      </w:pPr>
      <w:r>
        <w:rPr>
          <w:b/>
        </w:rPr>
        <w:t xml:space="preserve">Test correctness separately from repeatability. </w:t>
      </w:r>
      <w:r>
        <w:t>Identical outputs for identical inputs and a 100% unit-test pass rate can still describe consistently wrong rules. Use domain-reviewed expected outcomes and test missing fields, date boundaries, numerical limits, exceptions and conflicting sources. Fix the test inventory before final acceptance.</w:t>
      </w:r>
    </w:p>
    <w:p>
      <w:pPr>
        <w:spacing w:after="180"/>
      </w:pPr>
      <w:r>
        <w:rPr>
          <w:b/>
        </w:rPr>
        <w:t xml:space="preserve">Resolve the cross-team dependency. </w:t>
      </w:r>
      <w:r>
        <w:t>Section 2 says delivery is independent of Subteam 1, while sections 6 and 7 require agreeing the interface and obtaining joint acceptance. Specify whether this is standalone delivery with interface review or an actual integrated demonstration. Record the corresponding dependency, reviewer and acceptance evidence.</w:t>
      </w:r>
    </w:p>
    <w:p>
      <w:pPr>
        <w:spacing w:after="180"/>
      </w:pPr>
      <w:r>
        <w:rPr>
          <w:b/>
        </w:rPr>
        <w:t xml:space="preserve">Schedule the domain review and baseline comparison. </w:t>
      </w:r>
      <w:r>
        <w:t>Every in-scope rule requires domain review, yet the HR representative is unconfirmed and no review time is allocated by date. The overview also promises selected-case baseline comparison, which is absent from the success criteria. Add the comparison requirement and specify the reviewer, dates and rule-level owners.</w:t>
      </w:r>
    </w:p>
    <w:p>
      <w:pPr>
        <w:spacing w:before="100"/>
      </w:pPr>
      <w:r>
        <w:rPr>
          <w:i/>
        </w:rPr>
        <w:t>Recommended revision: choose one policy domain and publish a bounded rule list with authoritative sources, expected outcomes and a named reviewer. Require a minimum number of reviewed, source-backed executable rules, while reporting unresolved cases separately.</w:t>
      </w:r>
    </w:p>
    <w:p>
      <w:r>
        <w:br w:type="page"/>
      </w:r>
    </w:p>
    <w:p>
      <w:pPr>
        <w:pStyle w:val="Heading1"/>
      </w:pPr>
      <w:r>
        <w:t>6  Original speech project charter</w:t>
      </w:r>
    </w:p>
    <w:p>
      <w:pPr>
        <w:spacing w:after="200"/>
      </w:pPr>
      <w:r>
        <w:rPr>
          <w:b/>
          <w:sz w:val="18"/>
        </w:rPr>
        <w:t xml:space="preserve">Source: </w:t>
      </w:r>
      <w:r>
        <w:rPr>
          <w:sz w:val="18"/>
        </w:rPr>
        <w:t>team2-miniproject / Project Charter — CPU-First Real-Time Speech Transcription and Translation (1).docx</w:t>
      </w:r>
    </w:p>
    <w:p>
      <w:r>
        <w:t>Assessment: the original three-month charter needs an explicit hierarchy and change relationship to the SenseVoice subteam variant.</w:t>
      </w:r>
    </w:p>
    <w:p>
      <w:pPr>
        <w:spacing w:after="180"/>
      </w:pPr>
      <w:r>
        <w:rPr>
          <w:b/>
        </w:rPr>
        <w:t xml:space="preserve">Resolve contradictory infrastructure boundaries. </w:t>
      </w:r>
      <w:r>
        <w:t>Section 2 explicitly excludes Kubernetes and multi-server clusters, while the SenseVoice charter makes Kubernetes and multiple replicas mandatory. If the subteam charter represents an approved extension, identify that change, its approver and which charter controls each deliverable.</w:t>
      </w:r>
    </w:p>
    <w:p>
      <w:pPr>
        <w:spacing w:after="180"/>
      </w:pPr>
      <w:r>
        <w:rPr>
          <w:b/>
        </w:rPr>
        <w:t xml:space="preserve">Explain the different resource and schedule levels. </w:t>
      </w:r>
      <w:r>
        <w:t>The original plan estimates 9.75 person-months through 25 December 2026; the SenseVoice variant allocates 80 person-hours through 10 November 2026. Different project levels can justify this, but the documents must identify which original deliverables the subteam owns and avoid silently transferring the full project scope into 80 hours.</w:t>
      </w:r>
    </w:p>
    <w:p>
      <w:pPr>
        <w:spacing w:after="180"/>
      </w:pPr>
      <w:r>
        <w:rPr>
          <w:b/>
        </w:rPr>
        <w:t xml:space="preserve">Recheck hardware assumptions for the selected model. </w:t>
      </w:r>
      <w:r>
        <w:t>The original charter assumes a four-CPU, 2 GB container. The SenseVoice charter reports peak RAM of 2.70 to 3.81 GB. If the same allocation is intended, it needs revision or a new measurement under the actual limit. Confirm whether shared infrastructure budgets cover this change.</w:t>
      </w:r>
    </w:p>
    <w:p>
      <w:pPr>
        <w:spacing w:after="180"/>
      </w:pPr>
      <w:r>
        <w:rPr>
          <w:b/>
        </w:rPr>
        <w:t xml:space="preserve">Complete the budget before financial approval. </w:t>
      </w:r>
      <w:r>
        <w:t>Rates and total amounts remain TBD. State the funding ceiling or approval dependency and distinguish committed quantities from provisional prices. Define contingency as a percentage of the subtotal before contingency to avoid ambiguity in total above.</w:t>
      </w:r>
    </w:p>
    <w:p>
      <w:pPr>
        <w:spacing w:after="180"/>
      </w:pPr>
      <w:r>
        <w:rPr>
          <w:b/>
        </w:rPr>
        <w:t xml:space="preserve">Allow evidence-based decisions at stage gates. </w:t>
      </w:r>
      <w:r>
        <w:t>The schedule requires the chosen configuration to beat the baseline before the next phase starts. An experiment may establish that the baseline is preferable. Permit a documented review decision to retain the baseline and proceed with justified deployment or handover.</w:t>
      </w:r>
    </w:p>
    <w:p>
      <w:pPr>
        <w:spacing w:before="100"/>
      </w:pPr>
      <w:r>
        <w:rPr>
          <w:i/>
        </w:rPr>
        <w:t>Recommended revision: add a parent-to-subteam deliverable mapping, approved deviations, resource allocations and document precedence. Preserve the original plan as the parent only if the sponsor confirms that relationship.</w:t>
      </w:r>
    </w:p>
    <w:p>
      <w:r>
        <w:br w:type="page"/>
      </w:r>
    </w:p>
    <w:p>
      <w:pPr>
        <w:pStyle w:val="Heading1"/>
      </w:pPr>
      <w:r>
        <w:t>7  Required revisions across teams</w:t>
      </w:r>
    </w:p>
    <w:p>
      <w:r>
        <w:t>Before approving the next delivery baseline, ask each team to submit the following concise updates. These actions make the commitments comparable and allow reviewers to verify completion.</w:t>
      </w:r>
    </w:p>
    <w:p>
      <w:pPr>
        <w:spacing w:after="180"/>
      </w:pPr>
      <w:r>
        <w:rPr>
          <w:b/>
        </w:rPr>
        <w:t xml:space="preserve">Scope and ownership. </w:t>
      </w:r>
      <w:r>
        <w:t>Each subteam lead should identify the mandatory minimum, optional work, named owner for each deliverable and explicit exclusions. The OntoKb-E leads should jointly state whether their workstreams are independent or collaborative, and identify integration and shared-code ownership where relevant.</w:t>
      </w:r>
    </w:p>
    <w:p>
      <w:pPr>
        <w:spacing w:after="180"/>
      </w:pPr>
      <w:r>
        <w:rPr>
          <w:b/>
        </w:rPr>
        <w:t xml:space="preserve">Effort and dates. </w:t>
      </w:r>
      <w:r>
        <w:t>Each lead and the project manager should reconcile task estimates with individual availability, set start and finish dates, and allocate time for review, defect repair and handover. Keep person-hours separate from elapsed duration. Confirm whether project management and reviewer time are included or provided separately.</w:t>
      </w:r>
    </w:p>
    <w:p>
      <w:pPr>
        <w:spacing w:after="180"/>
      </w:pPr>
      <w:r>
        <w:rPr>
          <w:b/>
        </w:rPr>
        <w:t xml:space="preserve">Acceptance and evaluation. </w:t>
      </w:r>
      <w:r>
        <w:t>Each technical lead and evaluator should freeze test data, expected results, sample sizes, load levels, measurement clocks and denominators. State who can approve exceptions and which criteria cannot be waived without a scope change. Report correctness, coverage, unresolved outcomes and failures separately.</w:t>
      </w:r>
    </w:p>
    <w:p>
      <w:pPr>
        <w:spacing w:after="180"/>
      </w:pPr>
      <w:r>
        <w:rPr>
          <w:b/>
        </w:rPr>
        <w:t xml:space="preserve">Dependencies and environment. </w:t>
      </w:r>
      <w:r>
        <w:t>Name owners and required dates for HR review, policy sources, repository access, identity services, models and Netaccess resources. Define the decision if a prerequisite is unavailable. Reconcile database restrictions and memory limits with the chosen prototype.</w:t>
      </w:r>
    </w:p>
    <w:p>
      <w:pPr>
        <w:spacing w:after="180"/>
      </w:pPr>
      <w:r>
        <w:rPr>
          <w:b/>
        </w:rPr>
        <w:t xml:space="preserve">Budget and approval. </w:t>
      </w:r>
      <w:r>
        <w:t>The project manager and sponsor should reconcile all amounts, confirm shared versus incremental costs, and complete approval fields. Separate existing resource use from new spending. Record document versions and the relationship between parent and subteam charters.</w:t>
      </w:r>
    </w:p>
    <w:p>
      <w:pPr>
        <w:spacing w:after="180"/>
      </w:pPr>
      <w:r>
        <w:rPr>
          <w:b/>
        </w:rPr>
        <w:t xml:space="preserve">Priority order. </w:t>
      </w:r>
      <w:r>
        <w:t>First rescope the two OntoKb-E charters and resolve their overlapping ownership. Next repair the SenseVoice individual schedule and budget. Then strengthen the Policy QA acceptance criteria and align the original speech charter with its variant.</w:t>
      </w:r>
    </w:p>
    <w:p>
      <w:pPr>
        <w:spacing w:before="100"/>
      </w:pPr>
      <w:r>
        <w:rPr>
          <w:i/>
        </w:rPr>
        <w:t>A revised charter is ready for review when another engineer can tell what will be delivered, who owns it, when it is due, what resources it needs and what evidence will establish acceptance.</w:t>
      </w:r>
    </w:p>
    <w:sectPr w:rsidR="00FC693F" w:rsidRPr="0006063C" w:rsidSect="00034616">
      <w:footerReference w:type="default" r:id="rId9"/>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Project Charter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Review</dc:title>
  <dc:subject>Consolidated charter findings and recommended revisions</dc:subject>
  <dc:creator/>
  <cp:keywords>project charter, review, mini projects</cp:keywords>
  <dc:description>generated by python-docx</dc:description>
  <cp:lastModifiedBy/>
  <cp:revision>1</cp:revision>
  <dcterms:created xsi:type="dcterms:W3CDTF">2013-12-23T23:15:00Z</dcterms:created>
  <dcterms:modified xsi:type="dcterms:W3CDTF">2013-12-23T23:15:00Z</dcterms:modified>
  <cp:category/>
</cp:coreProperties>
</file>