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365D"/>
          <w:sz w:val="36"/>
        </w:rPr>
        <w:t>SUBTEAM 2: TECHNICAL DIFFERENTIATION &amp; TEAM DEFENSE GUIDE</w:t>
      </w:r>
    </w:p>
    <w:p>
      <w:pPr>
        <w:spacing w:before="0" w:after="320"/>
      </w:pPr>
      <w:r>
        <w:rPr>
          <w:rFonts w:ascii="Arial" w:hAnsi="Arial"/>
          <w:b w:val="0"/>
          <w:i/>
          <w:color w:val="718096"/>
          <w:sz w:val="20"/>
        </w:rPr>
        <w:t>Ontokb-E Enterprise Platform Transformation · Third Wave Inc. · Tech Training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18"/>
              </w:rPr>
              <w:t>Document Purpose: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Team-wide alignment, architectural differentiation, and Q&amp;A defense guide for leadership reviews.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18"/>
              </w:rPr>
              <w:t>Target Audience: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Pooja (Tech Lead), Jaiadithya (Core Developer), Balachandra (QA Engineer).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18"/>
              </w:rPr>
              <w:t>Project Reference: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Ontokb-E Enterprise Platform Transformation – Subteam 2 (Project Charter v1.0).</w:t>
            </w:r>
          </w:p>
        </w:tc>
      </w:tr>
      <w:tr>
        <w:tc>
          <w:tcPr>
            <w:tcW w:type="dxa" w:w="4680"/>
            <w:shd w:fill="F7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1A365D"/>
                <w:sz w:val="18"/>
              </w:rPr>
              <w:t>Program Governance:</w:t>
            </w:r>
          </w:p>
        </w:tc>
        <w:tc>
          <w:tcPr>
            <w:tcW w:type="dxa" w:w="46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8"/>
              </w:rPr>
              <w:t>Third Wave AI Dual-Track Operating Model (Project Manager: Zhang Dapeng).</w:t>
            </w:r>
          </w:p>
        </w:tc>
      </w:tr>
    </w:tbl>
    <w:p>
      <w:pPr>
        <w:spacing w:after="16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6"/>
        </w:rPr>
        <w:t>1. Executive Summary: What Every Team Member Must Know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Both Subteam 1 and Subteam 2 are executing under Third Wave Inc.'s AI Dual-Track Operating Model, overseen by Project Manager Zhang Dapeng. However, each subteam approaches the platform transformation from fundamentally different vantage points: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Subteam 1 Focus: </w:t>
      </w:r>
      <w:r>
        <w:rPr>
          <w:rFonts w:ascii="Arial" w:hAnsi="Arial"/>
          <w:b w:val="0"/>
          <w:i w:val="0"/>
          <w:color w:val="2D3748"/>
          <w:sz w:val="19"/>
        </w:rPr>
        <w:t>Subteam 1 approached the initiative top-down from the existing Node.js/TypeScript LOGOS monorepo, focusing on packaging Dospara customer-support rules into generic 'Domain Packs' and planning enterprise multi-tenancy on paper.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Subteam 2 Focus: </w:t>
      </w:r>
      <w:r>
        <w:rPr>
          <w:rFonts w:ascii="Arial" w:hAnsi="Arial"/>
          <w:b w:val="0"/>
          <w:i w:val="0"/>
          <w:color w:val="2D3748"/>
          <w:sz w:val="19"/>
        </w:rPr>
        <w:t>Subteam 2 (Our Team) approached the problem bottom-up from verifiable semantic grounding and execution integrity, solving the foundational failure modes of generative AI (hallucination, floating facts, and belief drift) through working code and automated proofs.</w:t>
      </w:r>
    </w:p>
    <w:p>
      <w:pPr>
        <w:spacing w:before="0" w:after="80" w:line="276" w:lineRule="auto"/>
      </w:pPr>
      <w:r>
        <w:rPr>
          <w:rFonts w:ascii="Arial" w:hAnsi="Arial"/>
          <w:b w:val="0"/>
          <w:i/>
          <w:color w:val="2D3748"/>
          <w:sz w:val="19"/>
        </w:rPr>
        <w:t>Crucially: While Subteam 1 submitted a design proposal with zero working lines of code, our team has already proven the underlying architecture through 297 passing automated tests and a production-ready codebase. In our Project Charter proposal, we align with the 80-hour enterprise sprint to ensure our proposal matches executive expectations while standing on rock-solid empirical foundations.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6"/>
        </w:rPr>
        <w:t>2. Core Comparison Matrix: Subteam 1 vs. Subteam 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Evaluation Dimension</w:t>
            </w:r>
          </w:p>
        </w:tc>
        <w:tc>
          <w:tcPr>
            <w:tcW w:type="dxa" w:w="31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Subteam 1 (Ontokb-E Subteam 1)</w:t>
            </w:r>
          </w:p>
        </w:tc>
        <w:tc>
          <w:tcPr>
            <w:tcW w:type="dxa" w:w="3120"/>
            <w:shd w:fill="2B6CB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Subteam 2 (Our Team)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2D3748"/>
                <w:sz w:val="17"/>
              </w:rPr>
              <w:t>Team Leadership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Tech Lead: Ajay Bharathi A (30h)</w:t>
              <w:br/>
              <w:t>Dev: Sivashanmugam (30h)</w:t>
              <w:br/>
              <w:t>QA: Thrilok (20h)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Tech Lead: Pooja (30h)</w:t>
              <w:br/>
              <w:t>Core Dev: Jaiadithya (30h)</w:t>
              <w:br/>
              <w:t>QA: Balachandra (20h)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2D3748"/>
                <w:sz w:val="17"/>
              </w:rPr>
              <w:t>Execution Status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Planning &amp; Proposal Only</w:t>
              <w:br/>
              <w:t>(16 markdown &amp; 12 Word docs;</w:t>
              <w:br/>
              <w:t>0 lines of executable code)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Implemented, Tested &amp; Verified</w:t>
              <w:br/>
              <w:t>(Production OntoKB v2 + LOGOS PoC;</w:t>
              <w:br/>
              <w:t>297 automated tests passing)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2D3748"/>
                <w:sz w:val="17"/>
              </w:rPr>
              <w:t>Architectural Philosophy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Top-down service refactor:</w:t>
              <w:br/>
              <w:t>Modularize the Node.js monorepo into generic Domain Packs.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Bottom-up kinetic grounding:</w:t>
              <w:br/>
              <w:t>Enforce character-exact evidence quotes &amp; Action Boundary state machines.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2D3748"/>
                <w:sz w:val="17"/>
              </w:rPr>
              <w:t>Technology Stack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Node.js 22, TypeScript, pnpm,</w:t>
              <w:br/>
              <w:t>OpenSearch, PostgreSQL 16.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Python 3.10+, SQLite 3 (WAL),</w:t>
              <w:br/>
              <w:t>PostgreSQL 16+, D3.js, Electron 0.3.0.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2D3748"/>
                <w:sz w:val="17"/>
              </w:rPr>
              <w:t>Database Strategy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Explicitly Out of Scope:</w:t>
              <w:br/>
              <w:t>Freezes PostgreSQL schemas/tables; relies on app-layer hacks.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Authoritative DDL Migrations:</w:t>
              <w:br/>
              <w:t>12 core relational tables with strict CAS revision checks &amp; receipts.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2D3748"/>
                <w:sz w:val="17"/>
              </w:rPr>
              <w:t>AI Grounding &amp; Memory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Theoretical concept:</w:t>
              <w:br/>
              <w:t>Proposes 'ONTOFORGE' on paper without coordinate validation.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Mathematically Enforced:</w:t>
              <w:br/>
              <w:t>source_text[start:end] == quote;</w:t>
              <w:br/>
              <w:t>Strict 'AcceptMemory != Agree'.</w:t>
            </w:r>
          </w:p>
        </w:tc>
      </w:tr>
      <w:tr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i w:val="0"/>
                <w:color w:val="2D3748"/>
                <w:sz w:val="17"/>
              </w:rPr>
              <w:t>Quality &amp; Verification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0 test suites;</w:t>
              <w:br/>
              <w:t>No benchmark datasets.</w:t>
            </w:r>
          </w:p>
        </w:tc>
        <w:tc>
          <w:tcPr>
            <w:tcW w:type="dxa" w:w="3120"/>
            <w:shd w:fill="F7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 w:val="0"/>
                <w:i w:val="0"/>
                <w:color w:val="2D3748"/>
                <w:sz w:val="17"/>
              </w:rPr>
              <w:t>297 automated tests passing (100%);</w:t>
              <w:br/>
              <w:t>Gate G2 Benchmark: 15ms latency,</w:t>
              <w:br/>
              <w:t>0.0% epistemic leakage.</w:t>
            </w:r>
          </w:p>
        </w:tc>
      </w:tr>
    </w:tbl>
    <w:p>
      <w:pPr>
        <w:spacing w:after="120"/>
      </w:pP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6"/>
        </w:rPr>
        <w:t>3. Deep-Dive: Key Technical &amp; Approach Differentiators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2"/>
        </w:rPr>
        <w:t>3.1 The Evidence Grounding Invariant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Subteam 1's proposal talks about 'provable evidence' in abstract terms. In contrast, our team implemented a non-negotiable mathematical coordinate proof at the database ingestion boundary: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Invariant Proof: </w:t>
      </w:r>
      <w:r>
        <w:rPr>
          <w:rFonts w:ascii="Arial" w:hAnsi="Arial"/>
          <w:b w:val="0"/>
          <w:i/>
          <w:color w:val="2D3748"/>
          <w:sz w:val="19"/>
        </w:rPr>
        <w:t>source_text[start_char : end_char] == verbatim_quote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If an LLM hallucinates even a single punctuation mark, the Action Boundary raises an EvidenceSpanMismatchError and aborts the transaction before any dirty data can enter PostgreSQL or SQLite.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2"/>
        </w:rPr>
        <w:t>3.2 Epistemic Disentanglement (AcceptMemory ≠ Agree)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A fatal flaw in standard RAG systems is conflating source claims with personal beliefs. Subteam 2 implemented a strict three-tier epistemic separation: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Epistemic Equation: </w:t>
      </w:r>
      <w:r>
        <w:rPr>
          <w:rFonts w:ascii="Arial" w:hAnsi="Arial"/>
          <w:b w:val="0"/>
          <w:i/>
          <w:color w:val="2D3748"/>
          <w:sz w:val="19"/>
        </w:rPr>
        <w:t>Source Claim  ≠  Memory Inclusion  ≠  Personal Stance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Document Ingestion: </w:t>
      </w:r>
      <w:r>
        <w:rPr>
          <w:rFonts w:ascii="Arial" w:hAnsi="Arial"/>
          <w:b w:val="0"/>
          <w:i w:val="0"/>
          <w:color w:val="2D3748"/>
          <w:sz w:val="19"/>
        </w:rPr>
        <w:t>Users can store objective facts in the SOURCE_LIBRARY without endorsing them.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Memory Inclusion: </w:t>
      </w:r>
      <w:r>
        <w:rPr>
          <w:rFonts w:ascii="Arial" w:hAnsi="Arial"/>
          <w:b w:val="0"/>
          <w:i w:val="0"/>
          <w:color w:val="2D3748"/>
          <w:sz w:val="19"/>
        </w:rPr>
        <w:t>Adding a claim to PERSONAL_MEMORY does not mean agreeing with it.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Personal Stance: </w:t>
      </w:r>
      <w:r>
        <w:rPr>
          <w:rFonts w:ascii="Arial" w:hAnsi="Arial"/>
          <w:b w:val="0"/>
          <w:i w:val="0"/>
          <w:color w:val="2D3748"/>
          <w:sz w:val="19"/>
        </w:rPr>
        <w:t>The owner must explicitly attach a stance ('agree', 'question', 'disagree', 'undecided') with revision history. Automation is strictly forbidden from inventing user agreement.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2"/>
        </w:rPr>
        <w:t>3.3 Kinetic Action Boundary &amp; CAS Idempotency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Rather than allowing direct database writes, Subteam 2 implemented Palantir-style Action Boundaries. Every mutation (CaptureSource, ExtractClaims, ReviewMemory, CurateEntity) requires an idempotency_key and an expected_revision. Concurrent or stale writes fail safely with HTTP 409 Conflict, and identical retries return cached receipts without side effects.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2"/>
        </w:rPr>
        <w:t>3.4 Windows HTTP Streaming Socket Fix</w:t>
      </w:r>
    </w:p>
    <w:p>
      <w:pPr>
        <w:spacing w:before="0" w:after="8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Subteam 2 diagnosed and resolved a critical Winsock kernel bug in ontokb/api.py. On Windows, socket closure with unread buffers caused WinError 10054 resets on graph payloads larger than 120 KB. We upgraded the API to HTTP/1.1 persistent streaming with SO_LINGER protection and explicit stream flushing, guaranteeing rock-solid desktop reliability.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6"/>
        </w:rPr>
        <w:t>4. Anticipated Leadership Questions &amp; Defense Answers for Pooja (Tech Lead)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Question: </w:t>
      </w:r>
      <w:r>
        <w:rPr>
          <w:rFonts w:ascii="Arial" w:hAnsi="Arial"/>
          <w:b w:val="0"/>
          <w:i w:val="0"/>
          <w:color w:val="2D3748"/>
          <w:sz w:val="19"/>
        </w:rPr>
        <w:t>Q1: 'Why does your Project Charter propose an 80-hour sprint if you already built a working system?'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Answer for Pooja: 'Our Project Charter is framed as an executive proposal for the enterprise transformation phase under Third Wave's Agile Sprint track. We utilized our initial research runway to build and prove a complete Gate G2 PoC and desktop prototype. Having pre-validated the hardest technical problems—evidence coordinate verification, epistemic separation, and CAS revision locking—gives our team 100% confidence that we will deliver all 5 phases within the 80-hour timebox with zero technical debt or schedule risk.'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Question: </w:t>
      </w:r>
      <w:r>
        <w:rPr>
          <w:rFonts w:ascii="Arial" w:hAnsi="Arial"/>
          <w:b w:val="0"/>
          <w:i w:val="0"/>
          <w:color w:val="2D3748"/>
          <w:sz w:val="19"/>
        </w:rPr>
        <w:t>Q2: 'How does your work differ from Subteam 1's ONTOFORGE proposal?'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Answer for Pooja: 'Subteam 1 drafted a high-level conceptual specification focusing on packaging Dospara customer-support rules into Domain Packs within the Node.js monorepo. Subteam 2 built the actual operational runtime engine. While their proposal exists on paper with zero code or tests, our team has 297 automated tests proving that character-exact evidence grounding, dual-scope retrieval, and action receipts work with sub-15ms latency.'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Question: </w:t>
      </w:r>
      <w:r>
        <w:rPr>
          <w:rFonts w:ascii="Arial" w:hAnsi="Arial"/>
          <w:b w:val="0"/>
          <w:i w:val="0"/>
          <w:color w:val="2D3748"/>
          <w:sz w:val="19"/>
        </w:rPr>
        <w:t>Q3: 'Subteam 1 declared database changes Out of Scope. Why did our PoC design new PostgreSQL tables?'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Answer for Pooja: 'In our formal PoC (LOGOS_integration), we designed authoritative relational tables (001_initial_schema.sql) to scientifically benchmark grounding precision and epistemic leakage against naive RAG. For the enterprise charter proposal, we respect the PostgreSQL schema freeze constraint by maintaining domain-neutral abstractions and action boundaries at the application service layer, as reflected in our In-Scope deliverables.'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Question: </w:t>
      </w:r>
      <w:r>
        <w:rPr>
          <w:rFonts w:ascii="Arial" w:hAnsi="Arial"/>
          <w:b w:val="0"/>
          <w:i w:val="0"/>
          <w:color w:val="2D3748"/>
          <w:sz w:val="19"/>
        </w:rPr>
        <w:t>Q4: 'How does Subteam 2 ensure multi-tenancy and enterprise security?'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Answer for Pooja: 'Our architecture enforces tenant boundary predicates at two distinct layers: first, at the Scoped Host Tools boundary where Codex and external agents are restricted to authorized tenant tokens; second, inside the DualScopeRetrievalEngine, where tenant IDs are non-bypassable SQL filters on all entity and evidence queries. Furthermore, our charter commits to 0 Critical security vulnerabilities at release.'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Question: </w:t>
      </w:r>
      <w:r>
        <w:rPr>
          <w:rFonts w:ascii="Arial" w:hAnsi="Arial"/>
          <w:b w:val="0"/>
          <w:i w:val="0"/>
          <w:color w:val="2D3748"/>
          <w:sz w:val="19"/>
        </w:rPr>
        <w:t>Q5: 'What are the measurable success criteria that prove Subteam 2's delivery?'</w:t>
      </w:r>
    </w:p>
    <w:p>
      <w:pPr>
        <w:spacing w:before="0" w:after="160" w:line="276" w:lineRule="auto"/>
      </w:pPr>
      <w:r>
        <w:rPr>
          <w:rFonts w:ascii="Arial" w:hAnsi="Arial"/>
          <w:b w:val="0"/>
          <w:i w:val="0"/>
          <w:color w:val="2D3748"/>
          <w:sz w:val="19"/>
        </w:rPr>
        <w:t>Answer for Pooja: 'We commit to four strict quantitative targets in Table 14: (1) 100% UAT pass rate, (2) 0 Critical security vulnerabilities with full authentication, (3) Onboarding a new business domain with zero core service code changes, and (4) Greater than 85% precision on cross-document relationship linking across temporal timelines.'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6"/>
        </w:rPr>
        <w:t>5. Individual Team Member Talking Points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• </w:t>
      </w:r>
      <w:r>
        <w:rPr>
          <w:rFonts w:ascii="Arial" w:hAnsi="Arial"/>
          <w:b w:val="0"/>
          <w:i w:val="0"/>
          <w:color w:val="2D3748"/>
          <w:sz w:val="19"/>
        </w:rPr>
        <w:t>Pooja (Project Leader &amp; Tech Lead — 30 Hours):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Scope: </w:t>
      </w:r>
      <w:r>
        <w:rPr>
          <w:rFonts w:ascii="Arial" w:hAnsi="Arial"/>
          <w:b w:val="0"/>
          <w:i w:val="0"/>
          <w:color w:val="2D3748"/>
          <w:sz w:val="19"/>
        </w:rPr>
        <w:t>Owns overall architecture, technical decision records (ADRs), and RFC 2119 compliance.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Talking Point: </w:t>
      </w:r>
      <w:r>
        <w:rPr>
          <w:rFonts w:ascii="Arial" w:hAnsi="Arial"/>
          <w:b w:val="0"/>
          <w:i w:val="0"/>
          <w:color w:val="2D3748"/>
          <w:sz w:val="19"/>
        </w:rPr>
        <w:t>Highlight that Subteam 2 is built on verified mathematical invariants rather than heuristics.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Talking Point: </w:t>
      </w:r>
      <w:r>
        <w:rPr>
          <w:rFonts w:ascii="Arial" w:hAnsi="Arial"/>
          <w:b w:val="0"/>
          <w:i w:val="0"/>
          <w:color w:val="2D3748"/>
          <w:sz w:val="19"/>
        </w:rPr>
        <w:t>Emphasize readiness for immediate UAT sign-off and stakeholder demonstration.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• </w:t>
      </w:r>
      <w:r>
        <w:rPr>
          <w:rFonts w:ascii="Arial" w:hAnsi="Arial"/>
          <w:b w:val="0"/>
          <w:i w:val="0"/>
          <w:color w:val="2D3748"/>
          <w:sz w:val="19"/>
        </w:rPr>
        <w:t>Jaiadithya (Core Developer — 30 Hours):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Scope: </w:t>
      </w:r>
      <w:r>
        <w:rPr>
          <w:rFonts w:ascii="Arial" w:hAnsi="Arial"/>
          <w:b w:val="0"/>
          <w:i w:val="0"/>
          <w:color w:val="2D3748"/>
          <w:sz w:val="19"/>
        </w:rPr>
        <w:t>Owns the core action runtime, ontology state machine, evidence span proofing, and API streaming.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Talking Point: </w:t>
      </w:r>
      <w:r>
        <w:rPr>
          <w:rFonts w:ascii="Arial" w:hAnsi="Arial"/>
          <w:b w:val="0"/>
          <w:i w:val="0"/>
          <w:color w:val="2D3748"/>
          <w:sz w:val="19"/>
        </w:rPr>
        <w:t>Can explain exact code mechanics: the regex character span matcher, CAS optimistic locking, and Windows SO_LINGER socket streaming.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Talking Point: </w:t>
      </w:r>
      <w:r>
        <w:rPr>
          <w:rFonts w:ascii="Arial" w:hAnsi="Arial"/>
          <w:b w:val="0"/>
          <w:i w:val="0"/>
          <w:color w:val="2D3748"/>
          <w:sz w:val="19"/>
        </w:rPr>
        <w:t>Can demonstrate the live Web UI (port 8765 / port 8000), D3 graph canvas, and GitHub repository sync.</w:t>
      </w:r>
    </w:p>
    <w:p>
      <w:pPr>
        <w:spacing w:before="0" w:after="8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• </w:t>
      </w:r>
      <w:r>
        <w:rPr>
          <w:rFonts w:ascii="Arial" w:hAnsi="Arial"/>
          <w:b w:val="0"/>
          <w:i w:val="0"/>
          <w:color w:val="2D3748"/>
          <w:sz w:val="19"/>
        </w:rPr>
        <w:t>Balachandra (QA &amp; Verification Engineer — 20 Hours):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Scope: </w:t>
      </w:r>
      <w:r>
        <w:rPr>
          <w:rFonts w:ascii="Arial" w:hAnsi="Arial"/>
          <w:b w:val="0"/>
          <w:i w:val="0"/>
          <w:color w:val="2D3748"/>
          <w:sz w:val="19"/>
        </w:rPr>
        <w:t>Owns test suite planning, benchmark datasets, defect tracking, and security/UAT sign-off.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Talking Point: </w:t>
      </w:r>
      <w:r>
        <w:rPr>
          <w:rFonts w:ascii="Arial" w:hAnsi="Arial"/>
          <w:b w:val="0"/>
          <w:i w:val="0"/>
          <w:color w:val="2D3748"/>
          <w:sz w:val="19"/>
        </w:rPr>
        <w:t>Highlight our 100% automated test pass rate across 297 tests (267 in OntoKB v2 + 30 in LOGOS integration).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Talking Point: </w:t>
      </w:r>
      <w:r>
        <w:rPr>
          <w:rFonts w:ascii="Arial" w:hAnsi="Arial"/>
          <w:b w:val="0"/>
          <w:i w:val="0"/>
          <w:color w:val="2D3748"/>
          <w:sz w:val="19"/>
        </w:rPr>
        <w:t>Cite our empirical Gate G2 benchmark: 100% evidence grounding precision, 0.0% epistemic leakage, and sub-15ms query overhead.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1A365D"/>
          <w:sz w:val="26"/>
        </w:rPr>
        <w:t>6. Key Architectural Glossary for Review Meetings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Epistemic Disentanglement: </w:t>
      </w:r>
      <w:r>
        <w:rPr>
          <w:rFonts w:ascii="Arial" w:hAnsi="Arial"/>
          <w:b w:val="0"/>
          <w:i w:val="0"/>
          <w:color w:val="2D3748"/>
          <w:sz w:val="19"/>
        </w:rPr>
        <w:t>The cognitive separation between objective facts stated in external sources and the personal beliefs/stances held by human knowledge workers.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Action Boundary: </w:t>
      </w:r>
      <w:r>
        <w:rPr>
          <w:rFonts w:ascii="Arial" w:hAnsi="Arial"/>
          <w:b w:val="0"/>
          <w:i w:val="0"/>
          <w:color w:val="2D3748"/>
          <w:sz w:val="19"/>
        </w:rPr>
        <w:t>A gatekeeping architectural layer that intercepts all agent and user mutation requests, verifying schemas, authorization, and character coordinates before writing to disk.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Evidence Span: </w:t>
      </w:r>
      <w:r>
        <w:rPr>
          <w:rFonts w:ascii="Arial" w:hAnsi="Arial"/>
          <w:b w:val="0"/>
          <w:i w:val="0"/>
          <w:color w:val="2D3748"/>
          <w:sz w:val="19"/>
        </w:rPr>
        <w:t>An immutable database record storing the exact start_char and end_char coordinate offsets of a verbatim quote inside an immutable source document snapshot.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Compare-And-Swap (CAS): </w:t>
      </w:r>
      <w:r>
        <w:rPr>
          <w:rFonts w:ascii="Arial" w:hAnsi="Arial"/>
          <w:b w:val="0"/>
          <w:i w:val="0"/>
          <w:color w:val="2D3748"/>
          <w:sz w:val="19"/>
        </w:rPr>
        <w:t>An optimistic concurrency control technique where mutations supply an expected_revision number, preventing silent overwrite of human edits by automated AI runs.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i w:val="0"/>
          <w:color w:val="2D3748"/>
          <w:sz w:val="19"/>
        </w:rPr>
        <w:t xml:space="preserve">Domain Pack: </w:t>
      </w:r>
      <w:r>
        <w:rPr>
          <w:rFonts w:ascii="Arial" w:hAnsi="Arial"/>
          <w:b w:val="0"/>
          <w:i w:val="0"/>
          <w:color w:val="2D3748"/>
          <w:sz w:val="19"/>
        </w:rPr>
        <w:t>A self-contained, domain-neutral configuration bundle defining entity types, state lifecycles, and validation rules for a specific business unit without changing core code.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