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F7D25F">
      <w:pPr>
        <w:spacing w:before="160" w:after="0"/>
      </w:pPr>
    </w:p>
    <w:p w14:paraId="32038E1B">
      <w:pPr>
        <w:spacing w:before="0" w:after="30"/>
        <w:jc w:val="center"/>
      </w:pPr>
      <w:r>
        <w:rPr>
          <w:rFonts w:ascii="Arial" w:hAnsi="Arial" w:eastAsia="Arial" w:cs="Arial"/>
          <w:b/>
          <w:bCs/>
          <w:i w:val="0"/>
          <w:iCs w:val="0"/>
          <w:color w:val="1F3864"/>
          <w:sz w:val="52"/>
          <w:szCs w:val="52"/>
        </w:rPr>
        <w:t>Project Charter</w:t>
      </w:r>
    </w:p>
    <w:p w14:paraId="66D6B328">
      <w:pPr>
        <w:spacing w:before="0" w:after="80"/>
        <w:jc w:val="center"/>
      </w:pPr>
      <w:r>
        <w:t xml:space="preserve">  ·  Version 1.1  ·  Third Wave Inc.</w:t>
      </w:r>
    </w:p>
    <w:p w14:paraId="44BF4559">
      <w:pPr>
        <w:spacing w:before="0" w:after="20"/>
        <w:jc w:val="center"/>
      </w:pPr>
      <w:r>
        <w:rPr>
          <w:rFonts w:ascii="Arial" w:hAnsi="Arial" w:eastAsia="Arial" w:cs="Arial"/>
          <w:b w:val="0"/>
          <w:bCs w:val="0"/>
          <w:i w:val="0"/>
          <w:iCs w:val="0"/>
          <w:color w:val="A32D2D"/>
          <w:sz w:val="16"/>
          <w:szCs w:val="16"/>
        </w:rPr>
        <w:t>Required fields must be completed before stakeholder sign-off.</w:t>
      </w:r>
    </w:p>
    <w:p w14:paraId="642F3C12">
      <w:pPr>
        <w:spacing w:before="0" w:after="120"/>
        <w:jc w:val="center"/>
      </w:pPr>
      <w:r>
        <w:rPr>
          <w:rFonts w:ascii="Arial" w:hAnsi="Arial" w:eastAsia="Arial" w:cs="Arial"/>
          <w:b w:val="0"/>
          <w:bCs w:val="0"/>
          <w:i/>
          <w:iCs/>
          <w:color w:val="595959"/>
          <w:sz w:val="15"/>
          <w:szCs w:val="15"/>
        </w:rPr>
        <w:t>☆ Optional fields are recommended but not mandatory.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5626"/>
      </w:tblGrid>
      <w:tr w14:paraId="59F6A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37493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Project Name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Ontokb-E Enterprise Platform Transformation – Subteam 2 (Alternative B: Action-Centric Architecture)</w:t>
            </w:r>
          </w:p>
        </w:tc>
      </w:tr>
      <w:tr w14:paraId="2C447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20B59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Project Manager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Zhang Dapeng — Third Wave Inc.</w:t>
            </w:r>
          </w:p>
        </w:tc>
      </w:tr>
      <w:tr w14:paraId="6D131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8B0A7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Project Leader (Tech Lead)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Pooja — Third Wave Inc.</w:t>
            </w:r>
          </w:p>
        </w:tc>
      </w:tr>
      <w:tr w14:paraId="0CA29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7512D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Sponsor / Stakeholder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______________________ — Third Wave Inc.</w:t>
            </w:r>
          </w:p>
        </w:tc>
      </w:tr>
      <w:tr w14:paraId="47D01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C3C21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Document Number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TW-ONT-2026-002</w:t>
            </w:r>
          </w:p>
        </w:tc>
      </w:tr>
      <w:tr w14:paraId="59E17B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6E114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Version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1.1</w:t>
            </w:r>
          </w:p>
        </w:tc>
      </w:tr>
      <w:tr w14:paraId="7BAF8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4BD84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Created Date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2026-10-14</w:t>
            </w:r>
          </w:p>
        </w:tc>
      </w:tr>
      <w:tr w14:paraId="5326E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67541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Last Updated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2026-10-15</w:t>
            </w:r>
          </w:p>
        </w:tc>
      </w:tr>
      <w:tr w14:paraId="730C7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FA4DB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Status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Proposal (Under Review – Rescoped for Comparative Evaluation)</w:t>
            </w:r>
          </w:p>
        </w:tc>
      </w:tr>
    </w:tbl>
    <w:p w14:paraId="73FD2B38">
      <w:pPr>
        <w:spacing w:before="180" w:after="0"/>
      </w:pPr>
    </w:p>
    <w:p w14:paraId="0E9E41F5">
      <w:pPr>
        <w:pBdr>
          <w:bottom w:val="single" w:color="2E75B6" w:sz="6" w:space="1"/>
        </w:pBdr>
        <w:spacing w:before="0" w:after="120"/>
      </w:pPr>
      <w:r>
        <w:rPr>
          <w:rFonts w:ascii="Arial" w:hAnsi="Arial" w:eastAsia="Arial" w:cs="Arial"/>
          <w:b/>
          <w:bCs/>
          <w:i w:val="0"/>
          <w:iCs w:val="0"/>
          <w:color w:val="1F3864"/>
          <w:sz w:val="26"/>
          <w:szCs w:val="26"/>
        </w:rPr>
        <w:t>0.  Revision History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1600"/>
        <w:gridCol w:w="1800"/>
        <w:gridCol w:w="4426"/>
      </w:tblGrid>
      <w:tr w14:paraId="79EB9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AAF19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Version</w:t>
            </w:r>
          </w:p>
        </w:tc>
        <w:tc>
          <w:tcPr>
            <w:tcW w:w="1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165CC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Date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05DD6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Author</w:t>
            </w:r>
          </w:p>
        </w:tc>
        <w:tc>
          <w:tcPr>
            <w:tcW w:w="44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6EE2E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Changes</w:t>
            </w:r>
          </w:p>
        </w:tc>
      </w:tr>
      <w:tr w14:paraId="689D8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1.0</w:t>
            </w:r>
          </w:p>
        </w:tc>
        <w:tc>
          <w:tcPr>
            <w:tcW w:w="1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2026-10-14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Project Team (Subteam 2)</w:t>
            </w:r>
          </w:p>
        </w:tc>
        <w:tc>
          <w:tcPr>
            <w:tcW w:w="44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Initial project charter proposal</w:t>
            </w:r>
          </w:p>
        </w:tc>
      </w:tr>
      <w:tr w14:paraId="05F0B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1.1</w:t>
            </w:r>
          </w:p>
        </w:tc>
        <w:tc>
          <w:tcPr>
            <w:tcW w:w="1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2026-10-15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Project Team (Subteam 2)</w:t>
            </w:r>
          </w:p>
        </w:tc>
        <w:tc>
          <w:tcPr>
            <w:tcW w:w="44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Rescoped for Alternative B (Action Runtime architecture) &amp; dual-prototype evaluation</w:t>
            </w:r>
          </w:p>
        </w:tc>
      </w:tr>
    </w:tbl>
    <w:p w14:paraId="78469584">
      <w:pPr>
        <w:spacing w:before="180" w:after="0"/>
      </w:pPr>
    </w:p>
    <w:p w14:paraId="296DBB84">
      <w:pPr>
        <w:pBdr>
          <w:bottom w:val="single" w:color="2E75B6" w:sz="6" w:space="1"/>
        </w:pBdr>
        <w:spacing w:before="0" w:after="120"/>
      </w:pPr>
      <w:r>
        <w:rPr>
          <w:rFonts w:ascii="Arial" w:hAnsi="Arial" w:eastAsia="Arial" w:cs="Arial"/>
          <w:b/>
          <w:bCs/>
          <w:i w:val="0"/>
          <w:iCs w:val="0"/>
          <w:color w:val="1F3864"/>
          <w:sz w:val="26"/>
          <w:szCs w:val="26"/>
        </w:rPr>
        <w:t>1.  Project Overview</w:t>
      </w:r>
    </w:p>
    <w:p w14:paraId="309673A1">
      <w:pPr>
        <w:spacing w:before="80" w:after="0"/>
      </w:pP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5626"/>
      </w:tblGrid>
      <w:tr w14:paraId="3F6E4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F2BA9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Purpose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/>
            <w:r>
              <w:rPr>
                <w:rFonts w:ascii="Calibri" w:hAnsi="Calibri"/>
                <w:sz w:val="20"/>
              </w:rPr>
              <w:t>Develop and evaluate an independent architectural alternative (Alternative B: Action-Centric Knowledge Runtime &amp; Epistemic Memory Layer) for the Ontokb-E platform transformation, executed in parallel with Subteam 1 (Alternative A) under an exploratory dual-prototype model. The project aims to determine the most practical, resilient, and useful architecture for onboarding multi-domain enterprise knowledge under strict infrastructure constraints.</w:t>
            </w:r>
          </w:p>
        </w:tc>
      </w:tr>
      <w:tr w14:paraId="1B13EC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37694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Background / Problem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/>
            <w:r>
              <w:rPr>
                <w:rFonts w:ascii="Calibri" w:hAnsi="Calibri"/>
                <w:sz w:val="20"/>
              </w:rPr>
              <w:t>LOGOS was originally developed as a single-purpose assistant for Dospara customer-support drafting with hardcoded business logic and no runtime ontology enforcement. To achieve an enterprise-grade transformation within an 80 person-hour allocation, Third Wave is testing two distinct alternatives: Subteam 1 explores an interface-led/workbench transformation (Alternative A), while Subteam 2 explores a decoupled, action-centric runtime with non-invasive epistemic memory (Alternative B) to evaluate which approach delivers superior enterprise utility, lower integration complexity, and deterministic domain execution.</w:t>
            </w:r>
          </w:p>
        </w:tc>
      </w:tr>
      <w:tr w14:paraId="5DD66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2C096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Expected Benefit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/>
            <w:r>
              <w:rPr>
                <w:rFonts w:ascii="Calibri" w:hAnsi="Calibri"/>
                <w:sz w:val="20"/>
              </w:rPr>
              <w:t>1. Configurable Multi-Domain Onboarding: New business domains onboarded via declarative configuration without core service code alterations.</w:t>
              <w:br/>
              <w:t>2. Non-Invasive State &amp; Audit Tracking: Verified tenant data isolation and tamper-evident audit logging implemented at the application layer without modifying existing PostgreSQL schemas.</w:t>
              <w:br/>
              <w:t>3. Cross-Document Linking: Automated entity and relationship extraction across chronologically spaced documents.</w:t>
              <w:br/>
              <w:t>4. Comparative Evaluation Findings: Empirical data comparing Alternative A vs Alternative B to inform Third Wave's long-term enterprise platform roadmap.</w:t>
            </w:r>
          </w:p>
        </w:tc>
      </w:tr>
      <w:tr w14:paraId="3E230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E4299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Project Type</w:t>
            </w:r>
          </w:p>
        </w:tc>
        <w:tc>
          <w:tcPr>
            <w:tcW w:w="5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Enhancement / Comparative Architecture Prototype (Subteam 2 Alternative B)</w:t>
            </w:r>
          </w:p>
        </w:tc>
      </w:tr>
    </w:tbl>
    <w:p w14:paraId="38483A0F">
      <w:pPr>
        <w:spacing w:before="180" w:after="0"/>
      </w:pPr>
    </w:p>
    <w:p w14:paraId="04D06DE0">
      <w:pPr>
        <w:pBdr>
          <w:bottom w:val="single" w:color="2E75B6" w:sz="6" w:space="1"/>
        </w:pBdr>
        <w:spacing w:before="0" w:after="120"/>
      </w:pPr>
      <w:r>
        <w:rPr>
          <w:rFonts w:ascii="Arial" w:hAnsi="Arial" w:eastAsia="Arial" w:cs="Arial"/>
          <w:b/>
          <w:bCs/>
          <w:i w:val="0"/>
          <w:iCs w:val="0"/>
          <w:color w:val="1F3864"/>
          <w:sz w:val="26"/>
          <w:szCs w:val="26"/>
        </w:rPr>
        <w:t>2.  Scope</w:t>
      </w:r>
    </w:p>
    <w:p w14:paraId="325F3FD4">
      <w:pPr>
        <w:spacing w:before="80" w:after="0"/>
      </w:pP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626"/>
      </w:tblGrid>
      <w:tr w14:paraId="4912FD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5A1DD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In Scope</w:t>
            </w:r>
          </w:p>
        </w:tc>
        <w:tc>
          <w:tcPr>
            <w:tcW w:w="6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20"/>
              </w:rPr>
              <w:t>The mandatory prototype scope is strictly bounded to the core Alternative B runtime architecture: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Action-Centric Ontology Runtime: </w:t>
            </w:r>
            <w:r>
              <w:rPr>
                <w:rFonts w:ascii="Calibri" w:hAnsi="Calibri"/>
                <w:sz w:val="20"/>
              </w:rPr>
              <w:t>Shared core data model enforcing formal state transitions, action preconditions, and entity lifecycles.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Epistemic Memory &amp; Audit Sourcing: </w:t>
            </w:r>
            <w:r>
              <w:rPr>
                <w:rFonts w:ascii="Calibri" w:hAnsi="Calibri"/>
                <w:sz w:val="20"/>
              </w:rPr>
              <w:t>Application-level event logging and JSON-LD object layer providing tamper-evident audit and tenant data isolation without modifying database schemas.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Domain-Neutral Ingestion &amp; Configuration: </w:t>
            </w:r>
            <w:r>
              <w:rPr>
                <w:rFonts w:ascii="Calibri" w:hAnsi="Calibri"/>
                <w:sz w:val="20"/>
              </w:rPr>
              <w:t>Declarative domain pack loader replacing hardcoded customer-support rules with reusable domain schemas.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Cross-Document Relationship Retrieval: </w:t>
            </w:r>
            <w:r>
              <w:rPr>
                <w:rFonts w:ascii="Calibri" w:hAnsi="Calibri"/>
                <w:sz w:val="20"/>
              </w:rPr>
              <w:t>Hybrid semantic and graph retrieval to link related entities across documents received weeks apart.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API Integration &amp; Evaluation Layer: </w:t>
            </w:r>
            <w:r>
              <w:rPr>
                <w:rFonts w:ascii="Calibri" w:hAnsi="Calibri"/>
                <w:sz w:val="20"/>
              </w:rPr>
              <w:t>REST endpoints exposing ontology queries, action execution, and hooks for standardized benchmark evaluation.</w:t>
            </w:r>
          </w:p>
        </w:tc>
      </w:tr>
      <w:tr w14:paraId="65AA51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8D15C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Out of Scope</w:t>
            </w:r>
          </w:p>
        </w:tc>
        <w:tc>
          <w:tcPr>
            <w:tcW w:w="6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/>
                <w:b/>
                <w:sz w:val="20"/>
              </w:rPr>
              <w:t>The following capabilities are explicitly deferred to subsequent production phases: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Database Migrations: </w:t>
            </w:r>
            <w:r>
              <w:rPr>
                <w:rFonts w:ascii="Calibri" w:hAnsi="Calibri"/>
                <w:sz w:val="20"/>
              </w:rPr>
              <w:t>Zero modifications to PostgreSQL tables, schemas, or indexes (relying strictly on application-layer state and event models).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Enterprise UI / Workbench Redesign: </w:t>
            </w:r>
            <w:r>
              <w:rPr>
                <w:rFonts w:ascii="Calibri" w:hAnsi="Calibri"/>
                <w:sz w:val="20"/>
              </w:rPr>
              <w:t>Full graphical administration workbench deferred; prototype exposes developer-grade REST APIs.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SSO &amp; Identity Federation: </w:t>
            </w:r>
            <w:r>
              <w:rPr>
                <w:rFonts w:ascii="Calibri" w:hAnsi="Calibri"/>
                <w:sz w:val="20"/>
              </w:rPr>
              <w:t>Enterprise SAML/OIDC federation deferred; lightweight token-based authentication used for prototype endpoints.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Commercial Billing &amp; Metering: </w:t>
            </w:r>
            <w:r>
              <w:rPr>
                <w:rFonts w:ascii="Calibri" w:hAnsi="Calibri"/>
                <w:sz w:val="20"/>
              </w:rPr>
              <w:t>Usage metering, billing infrastructure, and formal compliance certifications.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Historical Migration: </w:t>
            </w:r>
            <w:r>
              <w:rPr>
                <w:rFonts w:ascii="Calibri" w:hAnsi="Calibri"/>
                <w:sz w:val="20"/>
              </w:rPr>
              <w:t>Bulk migration of historical Dospara customer-support archives.</w:t>
            </w:r>
          </w:p>
        </w:tc>
      </w:tr>
      <w:tr w14:paraId="4AF50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68DFEF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Assumptions</w:t>
            </w:r>
          </w:p>
        </w:tc>
        <w:tc>
          <w:tcPr>
            <w:tcW w:w="6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/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Dual-Alternative Evaluation Model: </w:t>
            </w:r>
            <w:r>
              <w:rPr>
                <w:rFonts w:ascii="Calibri" w:hAnsi="Calibri"/>
                <w:sz w:val="20"/>
              </w:rPr>
              <w:t>Subteam 1 and Subteam 2 execute separate architectural prototypes to evaluate practical usefulness against a common evaluation benchmark.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Non-Invasive Database Handling: </w:t>
            </w:r>
            <w:r>
              <w:rPr>
                <w:rFonts w:ascii="Calibri" w:hAnsi="Calibri"/>
                <w:sz w:val="20"/>
              </w:rPr>
              <w:t>The application-level epistemic event log satisfies data isolation and audit requirements within the zero-schema-change PostgreSQL boundary.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Baseline Technology Stack: </w:t>
            </w:r>
            <w:r>
              <w:rPr>
                <w:rFonts w:ascii="Calibri" w:hAnsi="Calibri"/>
                <w:sz w:val="20"/>
              </w:rPr>
              <w:t>Node.js / TypeScript, PostgreSQL 16 (unmodified schema), OpenSearch, and S3-compatible storage.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Infrastructure Access: </w:t>
            </w:r>
            <w:r>
              <w:rPr>
                <w:rFonts w:ascii="Calibri" w:hAnsi="Calibri"/>
                <w:sz w:val="20"/>
              </w:rPr>
              <w:t>Standard shared development server and AI model inference API access are provisioned.</w:t>
            </w:r>
          </w:p>
        </w:tc>
      </w:tr>
      <w:tr w14:paraId="07FD1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7DFD9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Constraints</w:t>
            </w:r>
          </w:p>
        </w:tc>
        <w:tc>
          <w:tcPr>
            <w:tcW w:w="6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/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Effort Ceiling: </w:t>
            </w:r>
            <w:r>
              <w:rPr>
                <w:rFonts w:ascii="Calibri" w:hAnsi="Calibri"/>
                <w:sz w:val="20"/>
              </w:rPr>
              <w:t>Strictly capped at 80 person-hours across a 3-member team (Pooja: 30h, Jaiadithya: 30h, Balachandra: 20h).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Budget Ceiling: </w:t>
            </w:r>
            <w:r>
              <w:rPr>
                <w:rFonts w:ascii="Calibri" w:hAnsi="Calibri"/>
                <w:sz w:val="20"/>
              </w:rPr>
              <w:t>Direct non-labor expenditure capped at ¥27,500 (excluding tax); internal labor at ¥0.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Elapsed Timeline: </w:t>
            </w:r>
            <w:r>
              <w:rPr>
                <w:rFonts w:ascii="Calibri" w:hAnsi="Calibri"/>
                <w:sz w:val="20"/>
              </w:rPr>
              <w:t>8 calendar weeks (19 October 2026 – 11 December 2026).</w:t>
            </w:r>
          </w:p>
          <w:p>
            <w:pPr>
              <w:spacing w:after="40" w:before="20" w:line="276" w:lineRule="auto"/>
              <w:ind w:left="216"/>
            </w:pPr>
            <w:r>
              <w:rPr>
                <w:rFonts w:ascii="Calibri" w:hAnsi="Calibri"/>
                <w:b/>
                <w:sz w:val="20"/>
              </w:rPr>
              <w:t xml:space="preserve">• </w:t>
            </w:r>
            <w:r>
              <w:rPr>
                <w:rFonts w:ascii="Calibri" w:hAnsi="Calibri"/>
                <w:b/>
                <w:sz w:val="20"/>
              </w:rPr>
              <w:t xml:space="preserve">Information Security: </w:t>
            </w:r>
            <w:r>
              <w:rPr>
                <w:rFonts w:ascii="Calibri" w:hAnsi="Calibri"/>
                <w:sz w:val="20"/>
              </w:rPr>
              <w:t>All codebase assets, schemas, and benchmark datasets remain confidential within Third Wave Inc.</w:t>
            </w:r>
          </w:p>
        </w:tc>
      </w:tr>
    </w:tbl>
    <w:p w14:paraId="1E56B5FE">
      <w:pPr>
        <w:spacing w:before="180" w:after="0"/>
      </w:pPr>
    </w:p>
    <w:p w14:paraId="0175CC78">
      <w:pPr>
        <w:pBdr>
          <w:bottom w:val="single" w:color="2E75B6" w:sz="6" w:space="1"/>
        </w:pBdr>
        <w:spacing w:before="0" w:after="120"/>
      </w:pPr>
      <w:r>
        <w:rPr>
          <w:rFonts w:ascii="Arial" w:hAnsi="Arial" w:eastAsia="Arial" w:cs="Arial"/>
          <w:b/>
          <w:bCs/>
          <w:i w:val="0"/>
          <w:iCs w:val="0"/>
          <w:color w:val="1F3864"/>
          <w:sz w:val="26"/>
          <w:szCs w:val="26"/>
        </w:rPr>
        <w:t>3.  Schedule Overview</w:t>
      </w:r>
    </w:p>
    <w:p w14:paraId="049F25B1">
      <w:pPr>
        <w:spacing w:before="80" w:after="0"/>
      </w:pP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2157"/>
        <w:gridCol w:w="1443"/>
        <w:gridCol w:w="2626"/>
      </w:tblGrid>
      <w:tr w14:paraId="04F277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2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B9AC18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Phase</w:t>
            </w:r>
          </w:p>
        </w:tc>
        <w:tc>
          <w:tcPr>
            <w:tcW w:w="215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2EB7D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Owner(s)</w:t>
            </w:r>
          </w:p>
        </w:tc>
        <w:tc>
          <w:tcPr>
            <w:tcW w:w="144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29DE2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Effort (person-hours)</w:t>
            </w:r>
          </w:p>
        </w:tc>
        <w:tc>
          <w:tcPr>
            <w:tcW w:w="2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8EAD5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Key Deliverables</w:t>
            </w:r>
          </w:p>
        </w:tc>
      </w:tr>
      <w:tr w14:paraId="41BE7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Phase 1: Architectural Design &amp; Benchmark Setup</w:t>
              <w:br/>
              <w:t>(2026-10-19 – 2026-10-23)</w:t>
            </w:r>
          </w:p>
        </w:tc>
        <w:tc>
          <w:tcPr>
            <w:tcW w:w="215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Pooja (4h)</w:t>
              <w:br/>
              <w:t>Jaiadithya (4h)</w:t>
              <w:br/>
              <w:t>Balachandra (2h)</w:t>
            </w:r>
          </w:p>
        </w:tc>
        <w:tc>
          <w:tcPr>
            <w:tcW w:w="144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10</w:t>
            </w:r>
          </w:p>
        </w:tc>
        <w:tc>
          <w:tcPr>
            <w:tcW w:w="2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Alternative B architectural specification, domain-pack schema design, comparative evaluation benchmark criteria, environment setup.</w:t>
            </w:r>
          </w:p>
        </w:tc>
      </w:tr>
      <w:tr w14:paraId="48B703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Phase 2: Development – Core Action Runtime &amp; Epistemic Layer</w:t>
              <w:br/>
              <w:t>(2026-10-26 – 2026-11-06)</w:t>
            </w:r>
          </w:p>
        </w:tc>
        <w:tc>
          <w:tcPr>
            <w:tcW w:w="215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Pooja (9h)</w:t>
              <w:br/>
              <w:t>Jaiadithya (13h)</w:t>
            </w:r>
          </w:p>
        </w:tc>
        <w:tc>
          <w:tcPr>
            <w:tcW w:w="144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22</w:t>
            </w:r>
          </w:p>
        </w:tc>
        <w:tc>
          <w:tcPr>
            <w:tcW w:w="2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Ontology state-machine engine, action validation rules, application-level epistemic memory and audit event store (respecting zero-DB migration constraint).</w:t>
            </w:r>
          </w:p>
        </w:tc>
      </w:tr>
      <w:tr w14:paraId="5C77D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Phase 3: Development – Ingestion, Retrieval &amp; API Integration</w:t>
              <w:br/>
              <w:t>(2026-11-09 – 2026-11-20)</w:t>
            </w:r>
          </w:p>
        </w:tc>
        <w:tc>
          <w:tcPr>
            <w:tcW w:w="215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Pooja (11h)</w:t>
              <w:br/>
              <w:t>Jaiadithya (11h)</w:t>
            </w:r>
          </w:p>
        </w:tc>
        <w:tc>
          <w:tcPr>
            <w:tcW w:w="144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22</w:t>
            </w:r>
          </w:p>
        </w:tc>
        <w:tc>
          <w:tcPr>
            <w:tcW w:w="2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Declarative domain pack loader, cross-document relationship detection pipeline, REST API endpoints for queries and benchmark evaluation.</w:t>
            </w:r>
          </w:p>
        </w:tc>
      </w:tr>
      <w:tr w14:paraId="6D5FB0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Phase 4: Comparative Evaluation, Quality &amp; Security Validation</w:t>
              <w:br/>
              <w:t>(2026-11-23 – 2026-12-04)</w:t>
            </w:r>
          </w:p>
        </w:tc>
        <w:tc>
          <w:tcPr>
            <w:tcW w:w="215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Balachandra (17h)</w:t>
              <w:br/>
              <w:t>Jaiadithya (1h)</w:t>
              <w:br/>
              <w:t>Pooja (2h)</w:t>
            </w:r>
          </w:p>
        </w:tc>
        <w:tc>
          <w:tcPr>
            <w:tcW w:w="144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20</w:t>
            </w:r>
          </w:p>
        </w:tc>
        <w:tc>
          <w:tcPr>
            <w:tcW w:w="2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Execution of standardized evaluation benchmark, precision/recall verification, tenant isolation testing, security assessment report.</w:t>
            </w:r>
          </w:p>
        </w:tc>
      </w:tr>
      <w:tr w14:paraId="5DB0D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Phase 5: Release, Alternative Comparison &amp; Handover</w:t>
              <w:br/>
              <w:t>(2026-12-07 – 2026-12-11)</w:t>
            </w:r>
          </w:p>
        </w:tc>
        <w:tc>
          <w:tcPr>
            <w:tcW w:w="215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Pooja (4h)</w:t>
              <w:br/>
              <w:t>Jaiadithya (1h)</w:t>
              <w:br/>
              <w:t>Balachandra (1h)</w:t>
            </w:r>
          </w:p>
        </w:tc>
        <w:tc>
          <w:tcPr>
            <w:tcW w:w="144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6</w:t>
            </w:r>
          </w:p>
        </w:tc>
        <w:tc>
          <w:tcPr>
            <w:tcW w:w="2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Alternative B prototype package, comparative evaluation report (Alternative A vs B findings), technical documentation and handover.</w:t>
            </w:r>
          </w:p>
        </w:tc>
      </w:tr>
      <w:tr w14:paraId="08825B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Total</w:t>
            </w:r>
          </w:p>
        </w:tc>
        <w:tc>
          <w:tcPr>
            <w:tcW w:w="215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Pooja: 30h | Jaiadithya: 30h | Balachandra: 20h</w:t>
            </w:r>
          </w:p>
        </w:tc>
        <w:tc>
          <w:tcPr>
            <w:tcW w:w="1443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80</w:t>
            </w:r>
          </w:p>
        </w:tc>
        <w:tc>
          <w:tcPr>
            <w:tcW w:w="26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Completed 80-hour prototype evaluation</w:t>
            </w:r>
          </w:p>
        </w:tc>
      </w:tr>
    </w:tbl>
    <w:p w14:paraId="4DDC66F8">
      <w:pPr>
        <w:spacing w:before="180" w:after="0"/>
      </w:pPr>
    </w:p>
    <w:p w14:paraId="0CA8147F">
      <w:pPr>
        <w:pBdr>
          <w:bottom w:val="single" w:color="2E75B6" w:sz="6" w:space="1"/>
        </w:pBdr>
        <w:spacing w:before="0" w:after="120"/>
      </w:pPr>
      <w:r>
        <w:rPr>
          <w:rFonts w:ascii="Arial" w:hAnsi="Arial" w:eastAsia="Arial" w:cs="Arial"/>
          <w:b/>
          <w:bCs/>
          <w:i w:val="0"/>
          <w:iCs w:val="0"/>
          <w:color w:val="1F3864"/>
          <w:sz w:val="26"/>
          <w:szCs w:val="26"/>
        </w:rPr>
        <w:t>4.  Budget Overview</w:t>
      </w:r>
    </w:p>
    <w:p w14:paraId="0478885E">
      <w:pPr>
        <w:spacing w:before="80" w:after="0"/>
      </w:pP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2000"/>
        <w:gridCol w:w="3826"/>
      </w:tblGrid>
      <w:tr w14:paraId="4C70A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CDCE4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Cost Category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31B3E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Budget (¥, excl. tax)</w:t>
            </w:r>
          </w:p>
        </w:tc>
        <w:tc>
          <w:tcPr>
            <w:tcW w:w="3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A004C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Notes</w:t>
            </w:r>
          </w:p>
        </w:tc>
      </w:tr>
      <w:tr w14:paraId="368AF2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290A07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7"/>
              </w:rPr>
              <w:t>Development Labor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F54B5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¥0</w:t>
            </w:r>
          </w:p>
        </w:tc>
        <w:tc>
          <w:tcPr>
            <w:tcW w:w="3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Internal engineering team — 80 person-hours across 3 members (¥0 chargeback)</w:t>
            </w:r>
          </w:p>
        </w:tc>
      </w:tr>
      <w:tr w14:paraId="00899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AB9ABF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7"/>
              </w:rPr>
              <w:t>Infrastructure / Cloud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34B89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¥10,000</w:t>
            </w:r>
          </w:p>
        </w:tc>
        <w:tc>
          <w:tcPr>
            <w:tcW w:w="3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Dedicated container sandbox and test server instance for Alternative B prototype</w:t>
            </w:r>
          </w:p>
        </w:tc>
      </w:tr>
      <w:tr w14:paraId="5A7EBF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42B807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7"/>
              </w:rPr>
              <w:t>Licenses &amp; Tools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09A51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¥15,000</w:t>
            </w:r>
          </w:p>
        </w:tc>
        <w:tc>
          <w:tcPr>
            <w:tcW w:w="3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Open-source core stack; AI model API inference allowance for benchmark evaluation</w:t>
            </w:r>
          </w:p>
        </w:tc>
      </w:tr>
      <w:tr w14:paraId="4994F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F7C9B8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7"/>
              </w:rPr>
              <w:t>Other Expenses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E88FF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¥0</w:t>
            </w:r>
          </w:p>
        </w:tc>
        <w:tc>
          <w:tcPr>
            <w:tcW w:w="3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No outsourced services or travel expenses required</w:t>
            </w:r>
          </w:p>
        </w:tc>
      </w:tr>
      <w:tr w14:paraId="1A86B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A7A5B3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7"/>
              </w:rPr>
              <w:t>Contingency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1AB13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¥2,500</w:t>
            </w:r>
          </w:p>
        </w:tc>
        <w:tc>
          <w:tcPr>
            <w:tcW w:w="3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10% contingency buffer on non-labor direct expenses</w:t>
            </w:r>
          </w:p>
        </w:tc>
      </w:tr>
      <w:tr w14:paraId="7F44B5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640D8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7"/>
              </w:rPr>
              <w:t>TOTAL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3E362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¥27,500</w:t>
            </w:r>
          </w:p>
        </w:tc>
        <w:tc>
          <w:tcPr>
            <w:tcW w:w="3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Subteam 2 independent allocation (excluding tax)</w:t>
            </w:r>
          </w:p>
        </w:tc>
      </w:tr>
    </w:tbl>
    <w:p w14:paraId="42197D9D">
      <w:pPr>
        <w:spacing w:before="180" w:after="0"/>
      </w:pPr>
    </w:p>
    <w:p w14:paraId="0C42C897">
      <w:pPr>
        <w:pBdr>
          <w:bottom w:val="single" w:color="2E75B6" w:sz="6" w:space="1"/>
        </w:pBdr>
        <w:spacing w:before="0" w:after="120"/>
      </w:pPr>
      <w:r>
        <w:rPr>
          <w:rFonts w:ascii="Arial" w:hAnsi="Arial" w:eastAsia="Arial" w:cs="Arial"/>
          <w:b/>
          <w:bCs/>
          <w:i w:val="0"/>
          <w:iCs w:val="0"/>
          <w:color w:val="1F3864"/>
          <w:sz w:val="26"/>
          <w:szCs w:val="26"/>
        </w:rPr>
        <w:t>5.  Project Team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31"/>
        <w:gridCol w:w="2443"/>
        <w:gridCol w:w="1720"/>
        <w:gridCol w:w="2632"/>
      </w:tblGrid>
      <w:tr w14:paraId="142A3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B9F44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Role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08C6D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Name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B0753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Department</w:t>
            </w:r>
          </w:p>
        </w:tc>
        <w:tc>
          <w:tcPr>
            <w:tcW w:w="2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5CCA0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Responsibility</w:t>
            </w:r>
          </w:p>
        </w:tc>
      </w:tr>
      <w:tr w14:paraId="0CD46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ECF4BA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7"/>
              </w:rPr>
              <w:t>Stakeholder / Sponsor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635E7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______________________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1140F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Third Wave Inc.</w:t>
            </w:r>
          </w:p>
        </w:tc>
        <w:tc>
          <w:tcPr>
            <w:tcW w:w="2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92F65B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Final approval, budget, business decisions</w:t>
            </w:r>
          </w:p>
        </w:tc>
      </w:tr>
      <w:tr w14:paraId="1F032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0FC33E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7"/>
              </w:rPr>
              <w:t>Project Manager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104B4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Zhang Dapeng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FB0AF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Third Wave Inc.</w:t>
            </w:r>
          </w:p>
        </w:tc>
        <w:tc>
          <w:tcPr>
            <w:tcW w:w="2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B380E5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Overall delivery, schedule, risk, stakeholder reporting</w:t>
            </w:r>
          </w:p>
        </w:tc>
      </w:tr>
      <w:tr w14:paraId="31E251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3CED93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7"/>
              </w:rPr>
              <w:t>Project Leader (Tech Lead)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D0BED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Pooja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1D001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Third Wave Inc.</w:t>
            </w:r>
          </w:p>
        </w:tc>
        <w:tc>
          <w:tcPr>
            <w:tcW w:w="2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System architecture, ontology schema design, alternative comparison coordination, code reviews (30 h)</w:t>
            </w:r>
          </w:p>
        </w:tc>
      </w:tr>
      <w:tr w14:paraId="6A5E90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57C448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7"/>
              </w:rPr>
              <w:t>Core Developer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B565C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Jaiadithya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D6100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Third Wave Inc.</w:t>
            </w:r>
          </w:p>
        </w:tc>
        <w:tc>
          <w:tcPr>
            <w:tcW w:w="2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Core action runtime development, epistemic memory engine, API endpoints, integration (30 h)</w:t>
            </w:r>
          </w:p>
        </w:tc>
      </w:tr>
      <w:tr w14:paraId="6D7EF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8CC0B2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7"/>
              </w:rPr>
              <w:t>QA Engineer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90128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Balachandra</w:t>
            </w:r>
          </w:p>
        </w:tc>
        <w:tc>
          <w:tcPr>
            <w:tcW w:w="1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345BF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Third Wave Inc.</w:t>
            </w:r>
          </w:p>
        </w:tc>
        <w:tc>
          <w:tcPr>
            <w:tcW w:w="2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Benchmark test plan, test execution, tenant isolation checks, security validation, defect tracking (20 h)</w:t>
            </w:r>
          </w:p>
        </w:tc>
      </w:tr>
    </w:tbl>
    <w:p w14:paraId="4D31CB26">
      <w:pPr>
        <w:spacing w:before="180" w:after="0"/>
      </w:pPr>
    </w:p>
    <w:p w14:paraId="29B966AD">
      <w:pPr>
        <w:pBdr>
          <w:bottom w:val="single" w:color="2E75B6" w:sz="6" w:space="1"/>
        </w:pBdr>
        <w:spacing w:before="0" w:after="120"/>
      </w:pPr>
      <w:r>
        <w:rPr>
          <w:rFonts w:ascii="Arial" w:hAnsi="Arial" w:eastAsia="Arial" w:cs="Arial"/>
          <w:b/>
          <w:bCs/>
          <w:i w:val="0"/>
          <w:iCs w:val="0"/>
          <w:color w:val="1F3864"/>
          <w:sz w:val="26"/>
          <w:szCs w:val="26"/>
        </w:rPr>
        <w:t>6.  Key Risks</w:t>
      </w:r>
    </w:p>
    <w:p w14:paraId="4827B09C">
      <w:pPr>
        <w:spacing w:before="80" w:after="0"/>
      </w:pP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"/>
        <w:gridCol w:w="3200"/>
        <w:gridCol w:w="1600"/>
        <w:gridCol w:w="1400"/>
        <w:gridCol w:w="2426"/>
      </w:tblGrid>
      <w:tr w14:paraId="72797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80095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#</w:t>
            </w:r>
          </w:p>
        </w:tc>
        <w:tc>
          <w:tcPr>
            <w:tcW w:w="3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F0402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Risk</w:t>
            </w:r>
          </w:p>
        </w:tc>
        <w:tc>
          <w:tcPr>
            <w:tcW w:w="1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4FE3D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Impact</w:t>
            </w:r>
          </w:p>
        </w:tc>
        <w:tc>
          <w:tcPr>
            <w:tcW w:w="1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E9365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Probability</w:t>
            </w:r>
          </w:p>
        </w:tc>
        <w:tc>
          <w:tcPr>
            <w:tcW w:w="24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3F519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Response</w:t>
            </w:r>
          </w:p>
        </w:tc>
      </w:tr>
      <w:tr w14:paraId="240FA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577FF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w="3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Development effort exceeds the 80 person-hour allocation</w:t>
            </w:r>
          </w:p>
        </w:tc>
        <w:tc>
          <w:tcPr>
            <w:tcW w:w="1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High</w:t>
            </w:r>
          </w:p>
        </w:tc>
        <w:tc>
          <w:tcPr>
            <w:tcW w:w="1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Medium</w:t>
            </w:r>
          </w:p>
        </w:tc>
        <w:tc>
          <w:tcPr>
            <w:tcW w:w="24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Strictly bound prototype to core action runtime and retrieval; defer GUI overhaul and SSO to future roadmap; track hours weekly by deliverable.</w:t>
            </w:r>
          </w:p>
        </w:tc>
      </w:tr>
      <w:tr w14:paraId="0B457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C4D8D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w="3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PostgreSQL zero-migration constraint limits data model complexity</w:t>
            </w:r>
          </w:p>
        </w:tc>
        <w:tc>
          <w:tcPr>
            <w:tcW w:w="1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Medium</w:t>
            </w:r>
          </w:p>
        </w:tc>
        <w:tc>
          <w:tcPr>
            <w:tcW w:w="1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Medium</w:t>
            </w:r>
          </w:p>
        </w:tc>
        <w:tc>
          <w:tcPr>
            <w:tcW w:w="24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Implement state tracking and audit logging in an application-level epistemic event log and JSON-LD layer, preserving unmodified database tables.</w:t>
            </w:r>
          </w:p>
        </w:tc>
      </w:tr>
      <w:tr w14:paraId="2C7928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B1520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  <w:tc>
          <w:tcPr>
            <w:tcW w:w="3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AI relationship-detection and extraction accuracy below target</w:t>
            </w:r>
          </w:p>
        </w:tc>
        <w:tc>
          <w:tcPr>
            <w:tcW w:w="1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Medium</w:t>
            </w:r>
          </w:p>
        </w:tc>
        <w:tc>
          <w:tcPr>
            <w:tcW w:w="1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Medium</w:t>
            </w:r>
          </w:p>
        </w:tc>
        <w:tc>
          <w:tcPr>
            <w:tcW w:w="24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Calibrate confidence thresholds against domain benchmark datasets; maintain human-in-the-loop review for borderline extractions.</w:t>
            </w:r>
          </w:p>
        </w:tc>
      </w:tr>
    </w:tbl>
    <w:p w14:paraId="704A7160">
      <w:pPr>
        <w:spacing w:before="180" w:after="0"/>
      </w:pPr>
    </w:p>
    <w:p w14:paraId="746FE78B">
      <w:pPr>
        <w:pBdr>
          <w:bottom w:val="single" w:color="2E75B6" w:sz="6" w:space="1"/>
        </w:pBdr>
        <w:spacing w:before="0" w:after="120"/>
      </w:pPr>
      <w:r>
        <w:rPr>
          <w:rFonts w:ascii="Arial" w:hAnsi="Arial" w:eastAsia="Arial" w:cs="Arial"/>
          <w:b/>
          <w:bCs/>
          <w:i w:val="0"/>
          <w:iCs w:val="0"/>
          <w:color w:val="1F3864"/>
          <w:sz w:val="26"/>
          <w:szCs w:val="26"/>
        </w:rPr>
        <w:t>7.  Success Criteria</w:t>
      </w:r>
    </w:p>
    <w:p w14:paraId="55230A8C">
      <w:pPr>
        <w:spacing w:before="80" w:after="0"/>
      </w:pP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"/>
        <w:gridCol w:w="3800"/>
        <w:gridCol w:w="2000"/>
        <w:gridCol w:w="2826"/>
      </w:tblGrid>
      <w:tr w14:paraId="40EBA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03AC9"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sz w:val="20"/>
              </w:rPr>
              <w:t>#</w:t>
            </w:r>
          </w:p>
        </w:tc>
        <w:tc>
          <w:tcPr>
            <w:tcW w:w="3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BC560"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sz w:val="20"/>
              </w:rPr>
              <w:t>Criterion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47F1C"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sz w:val="20"/>
              </w:rPr>
              <w:t>Target</w:t>
            </w:r>
          </w:p>
        </w:tc>
        <w:tc>
          <w:tcPr>
            <w:tcW w:w="2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38EAD"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sz w:val="20"/>
              </w:rPr>
              <w:t>Measurement</w:t>
            </w:r>
          </w:p>
        </w:tc>
      </w:tr>
      <w:tr w14:paraId="5BB1B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29239"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w="3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Benchmark Evaluation Pass Rate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100% of defined prototype test scenarios executed with zero blocking defects</w:t>
            </w:r>
          </w:p>
        </w:tc>
        <w:tc>
          <w:tcPr>
            <w:tcW w:w="2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Quality Verification Report</w:t>
            </w:r>
          </w:p>
        </w:tc>
      </w:tr>
      <w:tr w14:paraId="6B264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63AD3"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w="3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Enterprise Security &amp; Isolation Baseline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All core REST endpoints authenticated; 0 Critical vulnerabilities; 100% tenant data separation verified</w:t>
            </w:r>
          </w:p>
        </w:tc>
        <w:tc>
          <w:tcPr>
            <w:tcW w:w="2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Security Test Report</w:t>
            </w:r>
          </w:p>
        </w:tc>
      </w:tr>
      <w:tr w14:paraId="42B2BA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A9B12"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w="3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Configurable Domain Onboarding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New business domain onboarded purely via configuration with 0 core service code modifications</w:t>
            </w:r>
          </w:p>
        </w:tc>
        <w:tc>
          <w:tcPr>
            <w:tcW w:w="2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Demonstration and Code Review</w:t>
            </w:r>
          </w:p>
        </w:tc>
      </w:tr>
      <w:tr w14:paraId="13739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89FA6"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w="38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Cross-Document Relationship Linking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E2EFD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≥ 85% precision and ≥ 75% recall across a standardized 50-pair cross-temporal evaluation dataset</w:t>
            </w:r>
          </w:p>
        </w:tc>
        <w:tc>
          <w:tcPr>
            <w:tcW w:w="28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Evaluation Benchmark Report</w:t>
            </w:r>
          </w:p>
        </w:tc>
      </w:tr>
      <w:tr>
        <w:tc>
          <w:tcPr>
            <w:tcW w:type="dxa" w:w="400"/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3800"/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Effort &amp; Budget Compliance</w:t>
            </w:r>
          </w:p>
        </w:tc>
        <w:tc>
          <w:tcPr>
            <w:tcW w:type="dxa" w:w="2000"/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Delivery completed within ≤ 80 person-hours and ≤ ¥27,500 direct expenditure</w:t>
            </w:r>
          </w:p>
        </w:tc>
        <w:tc>
          <w:tcPr>
            <w:tcW w:type="dxa" w:w="2826"/>
          </w:tcPr>
          <w:p>
            <w:pPr>
              <w:spacing w:line="276" w:lineRule="auto"/>
            </w:pPr>
            <w:r>
              <w:rPr>
                <w:rFonts w:ascii="Calibri" w:hAnsi="Calibri"/>
                <w:sz w:val="20"/>
              </w:rPr>
              <w:t>Project Closure &amp; Accounting Report</w:t>
            </w:r>
          </w:p>
        </w:tc>
      </w:tr>
    </w:tbl>
    <w:p w14:paraId="0C78A54A">
      <w:pPr>
        <w:spacing w:before="180" w:after="0"/>
      </w:pPr>
    </w:p>
    <w:p w14:paraId="048789DE">
      <w:pPr>
        <w:pBdr>
          <w:bottom w:val="single" w:color="2E75B6" w:sz="6" w:space="1"/>
        </w:pBdr>
        <w:spacing w:before="0" w:after="120"/>
      </w:pPr>
      <w:r>
        <w:rPr>
          <w:rFonts w:ascii="Arial" w:hAnsi="Arial" w:eastAsia="Arial" w:cs="Arial"/>
          <w:b/>
          <w:bCs/>
          <w:i w:val="0"/>
          <w:iCs w:val="0"/>
          <w:color w:val="1F3864"/>
          <w:sz w:val="26"/>
          <w:szCs w:val="26"/>
        </w:rPr>
        <w:t>8.  Approval</w:t>
      </w:r>
    </w:p>
    <w:p w14:paraId="19389F63">
      <w:pPr>
        <w:spacing w:before="0" w:after="100"/>
        <w:jc w:val="left"/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8"/>
          <w:szCs w:val="18"/>
        </w:rPr>
        <w:t>The signatories below confirm that they have reviewed this Project Charter and authorise the project to commence. Scope, budget, and timeline are agreed as stated above.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48"/>
        <w:gridCol w:w="2443"/>
        <w:gridCol w:w="1858"/>
        <w:gridCol w:w="2277"/>
      </w:tblGrid>
      <w:tr w14:paraId="1AB1F6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8A32C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Role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C717E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Name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3DE56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Date</w:t>
            </w:r>
          </w:p>
        </w:tc>
        <w:tc>
          <w:tcPr>
            <w:tcW w:w="24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CC279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8"/>
              </w:rPr>
              <w:t>Signature / Seal</w:t>
            </w:r>
          </w:p>
        </w:tc>
      </w:tr>
      <w:tr w14:paraId="3FE7C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2002B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7"/>
              </w:rPr>
              <w:t>Stakeholder / Sponsor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4DCD7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______________________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C7717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2026-10-14</w:t>
            </w:r>
          </w:p>
        </w:tc>
        <w:tc>
          <w:tcPr>
            <w:tcW w:w="24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7FE03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7"/>
              </w:rPr>
              <w:t>Pending approval</w:t>
            </w:r>
          </w:p>
        </w:tc>
      </w:tr>
      <w:tr w14:paraId="282E3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14780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7"/>
              </w:rPr>
              <w:t>Project Manager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FFA65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Zhang Dapeng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51F02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2026-10-14</w:t>
            </w:r>
          </w:p>
        </w:tc>
        <w:tc>
          <w:tcPr>
            <w:tcW w:w="24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68A74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7"/>
              </w:rPr>
              <w:t>Pending approval</w:t>
            </w:r>
          </w:p>
        </w:tc>
      </w:tr>
      <w:tr w14:paraId="529F30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AA345"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sz w:val="17"/>
              </w:rPr>
              <w:t>Project Leader (Tech Lead)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B7674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Pooja</w:t>
            </w:r>
          </w:p>
        </w:tc>
        <w:tc>
          <w:tcPr>
            <w:tcW w:w="2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05470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8"/>
              </w:rPr>
              <w:t>2026-10-14</w:t>
            </w:r>
          </w:p>
        </w:tc>
        <w:tc>
          <w:tcPr>
            <w:tcW w:w="242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D3AF9"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sz w:val="17"/>
              </w:rPr>
              <w:t>Pending approval</w:t>
            </w:r>
          </w:p>
        </w:tc>
      </w:tr>
    </w:tbl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803DF2">
    <w:pPr>
      <w:pBdr>
        <w:top w:val="single" w:color="2E75B6" w:sz="4" w:space="1"/>
      </w:pBdr>
      <w:tabs>
        <w:tab w:val="right" w:pos="9026"/>
      </w:tabs>
      <w:spacing w:before="80" w:after="0"/>
    </w:pPr>
    <w:r>
      <w:rPr>
        <w:rFonts w:ascii="Arial" w:hAnsi="Arial" w:eastAsia="Arial" w:cs="Arial"/>
        <w:color w:val="595959"/>
        <w:sz w:val="16"/>
        <w:szCs w:val="16"/>
      </w:rPr>
      <w:t xml:space="preserve">[Project Name]  |  Confidential  |  Page </w:t>
    </w:r>
    <w:r>
      <w:rPr>
        <w:rFonts w:ascii="Arial" w:hAnsi="Arial" w:eastAsia="Arial" w:cs="Arial"/>
        <w:color w:val="595959"/>
        <w:sz w:val="16"/>
        <w:szCs w:val="16"/>
      </w:rPr>
      <w:fldChar w:fldCharType="begin"/>
    </w:r>
    <w:r>
      <w:rPr>
        <w:rFonts w:ascii="Arial" w:hAnsi="Arial" w:eastAsia="Arial" w:cs="Arial"/>
        <w:color w:val="595959"/>
        <w:sz w:val="16"/>
        <w:szCs w:val="16"/>
      </w:rPr>
      <w:instrText xml:space="preserve">PAGE</w:instrText>
    </w:r>
    <w:r>
      <w:rPr>
        <w:rFonts w:ascii="Arial" w:hAnsi="Arial" w:eastAsia="Arial" w:cs="Arial"/>
        <w:color w:val="595959"/>
        <w:sz w:val="16"/>
        <w:szCs w:val="16"/>
      </w:rPr>
      <w:fldChar w:fldCharType="separate"/>
    </w:r>
    <w:r>
      <w:rPr>
        <w:rFonts w:ascii="Arial" w:hAnsi="Arial" w:eastAsia="Arial" w:cs="Arial"/>
        <w:color w:val="595959"/>
        <w:sz w:val="16"/>
        <w:szCs w:val="16"/>
      </w:rPr>
      <w:fldChar w:fldCharType="end"/>
    </w:r>
    <w:r>
      <w:rPr>
        <w:rFonts w:ascii="Arial" w:hAnsi="Arial" w:eastAsia="Arial" w:cs="Arial"/>
        <w:color w:val="595959"/>
        <w:sz w:val="16"/>
        <w:szCs w:val="16"/>
      </w:rPr>
      <w:t xml:space="preserve"> / </w:t>
    </w:r>
    <w:r>
      <w:rPr>
        <w:rFonts w:ascii="Arial" w:hAnsi="Arial" w:eastAsia="Arial" w:cs="Arial"/>
        <w:color w:val="595959"/>
        <w:sz w:val="16"/>
        <w:szCs w:val="16"/>
      </w:rPr>
      <w:fldChar w:fldCharType="begin"/>
    </w:r>
    <w:r>
      <w:rPr>
        <w:rFonts w:ascii="Arial" w:hAnsi="Arial" w:eastAsia="Arial" w:cs="Arial"/>
        <w:color w:val="595959"/>
        <w:sz w:val="16"/>
        <w:szCs w:val="16"/>
      </w:rPr>
      <w:instrText xml:space="preserve">NUMPAGES</w:instrText>
    </w:r>
    <w:r>
      <w:rPr>
        <w:rFonts w:ascii="Arial" w:hAnsi="Arial" w:eastAsia="Arial" w:cs="Arial"/>
        <w:color w:val="595959"/>
        <w:sz w:val="16"/>
        <w:szCs w:val="16"/>
      </w:rPr>
      <w:fldChar w:fldCharType="separate"/>
    </w:r>
    <w:r>
      <w:rPr>
        <w:rFonts w:ascii="Arial" w:hAnsi="Arial" w:eastAsia="Arial" w:cs="Arial"/>
        <w:color w:val="595959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5BE16E">
    <w:pPr>
      <w:pBdr>
        <w:bottom w:val="single" w:color="2E75B6" w:sz="6" w:space="1"/>
      </w:pBdr>
      <w:tabs>
        <w:tab w:val="right" w:pos="9026"/>
      </w:tabs>
      <w:spacing w:before="0" w:after="100"/>
    </w:pPr>
    <w:r>
      <w:rPr>
        <w:rFonts w:ascii="Arial" w:hAnsi="Arial" w:eastAsia="Arial" w:cs="Arial"/>
        <w:b/>
        <w:bCs/>
        <w:sz w:val="18"/>
        <w:szCs w:val="18"/>
      </w:rPr>
      <w:t>Third Wave Inc.</w:t>
    </w:r>
    <w:r>
      <w:rPr>
        <w:rFonts w:ascii="Arial" w:hAnsi="Arial" w:eastAsia="Arial" w:cs="Arial"/>
        <w:sz w:val="18"/>
        <w:szCs w:val="18"/>
      </w:rPr>
      <w:tab/>
    </w:r>
    <w:r>
      <w:rPr>
        <w:rFonts w:ascii="Arial" w:hAnsi="Arial" w:eastAsia="Arial" w:cs="Arial"/>
        <w:i/>
        <w:iCs/>
        <w:color w:val="595959"/>
        <w:sz w:val="17"/>
        <w:szCs w:val="17"/>
      </w:rPr>
      <w:t>Project Charter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36D5418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0"/>
      <w:szCs w:val="20"/>
    </w:rPr>
  </w:style>
  <w:style w:type="paragraph" w:styleId="2">
    <w:name w:val="heading 1"/>
    <w:next w:val="1"/>
    <w:qFormat/>
    <w:uiPriority w:val="0"/>
    <w:rPr>
      <w:rFonts w:ascii="Arial" w:hAnsi="Arial" w:eastAsia="Arial" w:cs="Arial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Arial" w:hAnsi="Arial" w:eastAsia="Arial" w:cs="Arial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0"/>
      <w:szCs w:val="20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0"/>
      <w:szCs w:val="20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0"/>
      <w:szCs w:val="20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6">
    <w:name w:val="List Paragraph"/>
    <w:qFormat/>
    <w:uiPriority w:val="0"/>
    <w:rPr>
      <w:rFonts w:ascii="Arial" w:hAnsi="Arial" w:eastAsia="Arial" w:cs="Arial"/>
      <w:sz w:val="20"/>
      <w:szCs w:val="20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1257</Words>
  <Characters>7757</Characters>
  <TotalTime>0</TotalTime>
  <ScaleCrop>false</ScaleCrop>
  <LinksUpToDate>false</LinksUpToDate>
  <CharactersWithSpaces>8828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2026-06-02T03:15:00Z</dcterms:created>
  <dc:creator>Un-named</dc:creator>
  <cp:lastModifiedBy>Jaiadithya A</cp:lastModifiedBy>
  <dcterms:modified xsi:type="dcterms:W3CDTF">2026-10-14T18:35:26Z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eyJoZGlkIjoiYjk5MWM2Zjg5NmQ1MjE3MjZlYzhiZGJjN2I1Y2IyOTkiLCJ1c2VySWQiOiI1NjczNjI1Mjk0ODQifQ==</vt:lpwstr>
  </property>
  <property fmtid="{D5CDD505-2E9C-101B-9397-08002B2CF9AE}" pid="3" name="KSOProductBuildVer">
    <vt:lpwstr>1033-12.1.0.29162</vt:lpwstr>
  </property>
  <property fmtid="{D5CDD505-2E9C-101B-9397-08002B2CF9AE}" pid="4" name="ICV">
    <vt:lpwstr>48B3CD30A9294F6794356CF28D28A582_12</vt:lpwstr>
  </property>
</Properties>
</file>