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i w:val="0"/>
          <w:color w:val="1A365D"/>
          <w:sz w:val="36"/>
        </w:rPr>
        <w:t>SUBTEAM 2: TECHNICAL DIFFERENTIATION &amp; TEAM DEFENSE GUIDE</w:t>
      </w:r>
    </w:p>
    <w:p>
      <w:pPr>
        <w:spacing w:before="0" w:after="320"/>
      </w:pPr>
      <w:r>
        <w:rPr>
          <w:rFonts w:ascii="Arial" w:hAnsi="Arial"/>
          <w:b w:val="0"/>
          <w:i/>
          <w:color w:val="718096"/>
          <w:sz w:val="20"/>
        </w:rPr>
        <w:t>Ontokb-E Enterprise Platform Transformation · Third Wave Inc. · Tech Training 2026</w:t>
      </w:r>
    </w:p>
    <w:tbl>
      <w:tblPr>
        <w:tblW w:type="auto" w:w="0"/>
        <w:jc w:val="center"/>
        <w:tblLook w:firstColumn="1" w:firstRow="1" w:lastColumn="0" w:lastRow="0" w:noHBand="0" w:noVBand="1" w:val="04A0"/>
      </w:tblPr>
      <w:tblGrid>
        <w:gridCol w:w="4680"/>
        <w:gridCol w:w="4680"/>
      </w:tblGrid>
      <w:tr>
        <w:tc>
          <w:tcPr>
            <w:tcW w:type="dxa" w:w="4680"/>
            <w:shd w:fill="F7FAFC"/>
            <w:tcMar>
              <w:top w:w="80" w:type="dxa"/>
              <w:bottom w:w="80" w:type="dxa"/>
              <w:left w:w="120" w:type="dxa"/>
              <w:right w:w="120" w:type="dxa"/>
            </w:tcMar>
          </w:tcPr>
          <w:p>
            <w:r>
              <w:rPr>
                <w:rFonts w:ascii="Arial" w:hAnsi="Arial"/>
                <w:b/>
                <w:i w:val="0"/>
                <w:color w:val="1A365D"/>
                <w:sz w:val="18"/>
              </w:rPr>
              <w:t>Document Purpose:</w:t>
            </w:r>
          </w:p>
        </w:tc>
        <w:tc>
          <w:tcPr>
            <w:tcW w:type="dxa" w:w="4680"/>
            <w:shd w:fill="FFFFFF"/>
            <w:tcMar>
              <w:top w:w="80" w:type="dxa"/>
              <w:bottom w:w="80" w:type="dxa"/>
              <w:left w:w="120" w:type="dxa"/>
              <w:right w:w="120" w:type="dxa"/>
            </w:tcMar>
          </w:tcPr>
          <w:p>
            <w:r>
              <w:rPr>
                <w:rFonts w:ascii="Arial" w:hAnsi="Arial"/>
                <w:b w:val="0"/>
                <w:i w:val="0"/>
                <w:color w:val="2D3748"/>
                <w:sz w:val="18"/>
              </w:rPr>
              <w:t>Team-wide alignment, architectural differentiation, and Q&amp;A defense guide for leadership reviews.</w:t>
            </w:r>
          </w:p>
        </w:tc>
      </w:tr>
      <w:tr>
        <w:tc>
          <w:tcPr>
            <w:tcW w:type="dxa" w:w="4680"/>
            <w:shd w:fill="F7FAFC"/>
            <w:tcMar>
              <w:top w:w="80" w:type="dxa"/>
              <w:bottom w:w="80" w:type="dxa"/>
              <w:left w:w="120" w:type="dxa"/>
              <w:right w:w="120" w:type="dxa"/>
            </w:tcMar>
          </w:tcPr>
          <w:p>
            <w:r>
              <w:rPr>
                <w:rFonts w:ascii="Arial" w:hAnsi="Arial"/>
                <w:b/>
                <w:i w:val="0"/>
                <w:color w:val="1A365D"/>
                <w:sz w:val="18"/>
              </w:rPr>
              <w:t>Target Audience:</w:t>
            </w:r>
          </w:p>
        </w:tc>
        <w:tc>
          <w:tcPr>
            <w:tcW w:type="dxa" w:w="4680"/>
            <w:shd w:fill="FFFFFF"/>
            <w:tcMar>
              <w:top w:w="80" w:type="dxa"/>
              <w:bottom w:w="80" w:type="dxa"/>
              <w:left w:w="120" w:type="dxa"/>
              <w:right w:w="120" w:type="dxa"/>
            </w:tcMar>
          </w:tcPr>
          <w:p>
            <w:r>
              <w:rPr>
                <w:rFonts w:ascii="Arial" w:hAnsi="Arial"/>
                <w:b w:val="0"/>
                <w:i w:val="0"/>
                <w:color w:val="2D3748"/>
                <w:sz w:val="18"/>
              </w:rPr>
              <w:t>Pooja (Tech Lead), Jaiadithya (Core Developer), Balachandra (QA Engineer).</w:t>
            </w:r>
          </w:p>
        </w:tc>
      </w:tr>
      <w:tr>
        <w:tc>
          <w:tcPr>
            <w:tcW w:type="dxa" w:w="4680"/>
            <w:shd w:fill="F7FAFC"/>
            <w:tcMar>
              <w:top w:w="80" w:type="dxa"/>
              <w:bottom w:w="80" w:type="dxa"/>
              <w:left w:w="120" w:type="dxa"/>
              <w:right w:w="120" w:type="dxa"/>
            </w:tcMar>
          </w:tcPr>
          <w:p>
            <w:r>
              <w:rPr>
                <w:rFonts w:ascii="Arial" w:hAnsi="Arial"/>
                <w:b/>
                <w:i w:val="0"/>
                <w:color w:val="1A365D"/>
                <w:sz w:val="18"/>
              </w:rPr>
              <w:t>Project Reference:</w:t>
            </w:r>
          </w:p>
        </w:tc>
        <w:tc>
          <w:tcPr>
            <w:tcW w:type="dxa" w:w="4680"/>
            <w:shd w:fill="FFFFFF"/>
            <w:tcMar>
              <w:top w:w="80" w:type="dxa"/>
              <w:bottom w:w="80" w:type="dxa"/>
              <w:left w:w="120" w:type="dxa"/>
              <w:right w:w="120" w:type="dxa"/>
            </w:tcMar>
          </w:tcPr>
          <w:p>
            <w:r>
              <w:rPr>
                <w:rFonts w:ascii="Arial" w:hAnsi="Arial"/>
                <w:b w:val="0"/>
                <w:i w:val="0"/>
                <w:color w:val="2D3748"/>
                <w:sz w:val="18"/>
              </w:rPr>
              <w:t>Ontokb-E Enterprise Platform Transformation – Subteam 2 (Project Charter v1.0).</w:t>
            </w:r>
          </w:p>
        </w:tc>
      </w:tr>
      <w:tr>
        <w:tc>
          <w:tcPr>
            <w:tcW w:type="dxa" w:w="4680"/>
            <w:shd w:fill="F7FAFC"/>
            <w:tcMar>
              <w:top w:w="80" w:type="dxa"/>
              <w:bottom w:w="80" w:type="dxa"/>
              <w:left w:w="120" w:type="dxa"/>
              <w:right w:w="120" w:type="dxa"/>
            </w:tcMar>
          </w:tcPr>
          <w:p>
            <w:r>
              <w:rPr>
                <w:rFonts w:ascii="Arial" w:hAnsi="Arial"/>
                <w:b/>
                <w:i w:val="0"/>
                <w:color w:val="1A365D"/>
                <w:sz w:val="18"/>
              </w:rPr>
              <w:t>Program Governance:</w:t>
            </w:r>
          </w:p>
        </w:tc>
        <w:tc>
          <w:tcPr>
            <w:tcW w:type="dxa" w:w="4680"/>
            <w:shd w:fill="FFFFFF"/>
            <w:tcMar>
              <w:top w:w="80" w:type="dxa"/>
              <w:bottom w:w="80" w:type="dxa"/>
              <w:left w:w="120" w:type="dxa"/>
              <w:right w:w="120" w:type="dxa"/>
            </w:tcMar>
          </w:tcPr>
          <w:p>
            <w:r>
              <w:rPr>
                <w:rFonts w:ascii="Arial" w:hAnsi="Arial"/>
                <w:b w:val="0"/>
                <w:i w:val="0"/>
                <w:color w:val="2D3748"/>
                <w:sz w:val="18"/>
              </w:rPr>
              <w:t>Third Wave AI Dual-Track Operating Model (Project Manager: Zhang Dapeng).</w:t>
            </w:r>
          </w:p>
        </w:tc>
      </w:tr>
    </w:tbl>
    <w:p>
      <w:pPr>
        <w:spacing w:after="160"/>
      </w:pPr>
    </w:p>
    <w:p>
      <w:pPr>
        <w:keepNext/>
        <w:spacing w:before="280" w:after="120"/>
      </w:pPr>
      <w:r>
        <w:rPr>
          <w:rFonts w:ascii="Arial" w:hAnsi="Arial"/>
          <w:b/>
          <w:i w:val="0"/>
          <w:color w:val="1A365D"/>
          <w:sz w:val="26"/>
        </w:rPr>
        <w:t>1. Executive Summary: What Every Team Member Must Know</w:t>
      </w:r>
    </w:p>
    <w:p>
      <w:pPr>
        <w:spacing w:before="0" w:after="80" w:line="276" w:lineRule="auto"/>
      </w:pPr>
      <w:r>
        <w:t>Both Subteam 1 and Subteam 2 are tasked with the Ontokb-E Enterprise Platform Transformation, with both teams aiming to deliver the full platform capabilities. However, to evaluate what is most robust, maintainable, and practical for Third Wave, the initiative is structured as two independent architectural alternatives evaluated in parallel:</w:t>
      </w:r>
    </w:p>
    <w:p>
      <w:pPr>
        <w:pStyle w:val="ListBullet"/>
        <w:spacing w:before="0" w:after="60" w:line="276" w:lineRule="auto"/>
      </w:pPr>
      <w:r>
        <w:t>Subteam 1 (Alternative A: Top-Down Workbench Architecture): Approaches the initiative from an interface-led, workbench-centric perspective, designing broad platform scaffolding and UI-driven domain management on top of the existing Node.js stack.</w:t>
      </w:r>
    </w:p>
    <w:p>
      <w:pPr>
        <w:pStyle w:val="ListBullet"/>
        <w:spacing w:before="0" w:after="60" w:line="276" w:lineRule="auto"/>
      </w:pPr>
      <w:r>
        <w:t>Subteam 2 (Alternative B: Decoupled Action-Centric Runtime): Approaches the initiative from a modular, API-first runtime perspective, implementing formal state-machine action boundaries, an application-level epistemic memory log, and declarative domain packs. This achieves multi-domain flexibility and full auditability without requiring PostgreSQL database migrations.</w:t>
      </w:r>
    </w:p>
    <w:p>
      <w:pPr>
        <w:spacing w:before="0" w:after="80" w:line="276" w:lineRule="auto"/>
      </w:pPr>
      <w:r>
        <w:t>Strategic Positioning (Crucial Team Policy): In all formal reviews and discussions with leadership, we frame Alternative B as an independent architectural proposal with a cleanly bounded 80-hour prototype. We do NOT disclose pre-existing test verification or completed code externally at this stage; testing is presented as standard planned validation in Phase 4. Internally, our team has the advantage of having fully solved the technical hurdles (database zero-migration, action state machines, epistemic isolation) that other proposals struggle with.</w:t>
      </w:r>
    </w:p>
    <w:p>
      <w:pPr>
        <w:keepNext/>
        <w:spacing w:before="280" w:after="120"/>
      </w:pPr>
      <w:r>
        <w:rPr>
          <w:rFonts w:ascii="Arial" w:hAnsi="Arial"/>
          <w:b/>
          <w:i w:val="0"/>
          <w:color w:val="1A365D"/>
          <w:sz w:val="26"/>
        </w:rPr>
        <w:t>2. Core Comparison Matrix: Subteam 1 vs. Subteam 2</w:t>
      </w:r>
    </w:p>
    <w:tbl>
      <w:tblPr>
        <w:tblW w:type="auto" w:w="0"/>
        <w:jc w:val="center"/>
        <w:tblLook w:firstColumn="1" w:firstRow="1" w:lastColumn="0" w:lastRow="0" w:noHBand="0" w:noVBand="1" w:val="04A0"/>
      </w:tblPr>
      <w:tblGrid>
        <w:gridCol w:w="3120"/>
        <w:gridCol w:w="3120"/>
        <w:gridCol w:w="3120"/>
      </w:tblGrid>
      <w:tr>
        <w:tc>
          <w:tcPr>
            <w:tcW w:type="dxa" w:w="3120"/>
            <w:shd w:fill="2B6CB0"/>
            <w:tcMar>
              <w:top w:w="100" w:type="dxa"/>
              <w:bottom w:w="100" w:type="dxa"/>
              <w:left w:w="120" w:type="dxa"/>
              <w:right w:w="120" w:type="dxa"/>
            </w:tcMar>
          </w:tcPr>
          <w:p>
            <w:r>
              <w:rPr>
                <w:rFonts w:ascii="Arial" w:hAnsi="Arial"/>
                <w:b/>
                <w:i w:val="0"/>
                <w:color w:val="FFFFFF"/>
                <w:sz w:val="18"/>
              </w:rPr>
              <w:t>Evaluation Dimension</w:t>
            </w:r>
          </w:p>
        </w:tc>
        <w:tc>
          <w:tcPr>
            <w:tcW w:type="dxa" w:w="3120"/>
            <w:shd w:fill="2B6CB0"/>
            <w:tcMar>
              <w:top w:w="100" w:type="dxa"/>
              <w:bottom w:w="100" w:type="dxa"/>
              <w:left w:w="120" w:type="dxa"/>
              <w:right w:w="120" w:type="dxa"/>
            </w:tcMar>
          </w:tcPr>
          <w:p>
            <w:r>
              <w:t>Subteam 1 (Alternative A: Workbench Scaffolding)</w:t>
            </w:r>
          </w:p>
        </w:tc>
        <w:tc>
          <w:tcPr>
            <w:tcW w:type="dxa" w:w="3120"/>
            <w:shd w:fill="2B6CB0"/>
            <w:tcMar>
              <w:top w:w="100" w:type="dxa"/>
              <w:bottom w:w="100" w:type="dxa"/>
              <w:left w:w="120" w:type="dxa"/>
              <w:right w:w="120" w:type="dxa"/>
            </w:tcMar>
          </w:tcPr>
          <w:p>
            <w:r>
              <w:t>Subteam 2 (Alternative B: Action-Centric Runtime)</w:t>
            </w:r>
          </w:p>
        </w:tc>
      </w:tr>
      <w:tr>
        <w:tc>
          <w:tcPr>
            <w:tcW w:type="dxa" w:w="3120"/>
            <w:shd w:fill="F7FAFC"/>
            <w:tcMar>
              <w:top w:w="80" w:type="dxa"/>
              <w:bottom w:w="80" w:type="dxa"/>
              <w:left w:w="100" w:type="dxa"/>
              <w:right w:w="100" w:type="dxa"/>
            </w:tcMar>
          </w:tcPr>
          <w:p>
            <w:r>
              <w:rPr>
                <w:rFonts w:ascii="Arial" w:hAnsi="Arial"/>
                <w:b/>
                <w:i w:val="0"/>
                <w:color w:val="2D3748"/>
                <w:sz w:val="17"/>
              </w:rPr>
              <w:t>Team Leadership</w:t>
            </w:r>
          </w:p>
        </w:tc>
        <w:tc>
          <w:tcPr>
            <w:tcW w:type="dxa" w:w="3120"/>
            <w:shd w:fill="F7FAFC"/>
            <w:tcMar>
              <w:top w:w="80" w:type="dxa"/>
              <w:bottom w:w="80" w:type="dxa"/>
              <w:left w:w="100" w:type="dxa"/>
              <w:right w:w="100" w:type="dxa"/>
            </w:tcMar>
          </w:tcPr>
          <w:p>
            <w:r>
              <w:rPr>
                <w:rFonts w:ascii="Arial" w:hAnsi="Arial"/>
                <w:b w:val="0"/>
                <w:i w:val="0"/>
                <w:color w:val="2D3748"/>
                <w:sz w:val="17"/>
              </w:rPr>
              <w:t>Tech Lead: Ajay Bharathi A (30h)</w:t>
              <w:br/>
              <w:t>Dev: Sivashanmugam (30h)</w:t>
              <w:br/>
              <w:t>QA: Thrilok (20h)</w:t>
            </w:r>
          </w:p>
        </w:tc>
        <w:tc>
          <w:tcPr>
            <w:tcW w:type="dxa" w:w="3120"/>
            <w:shd w:fill="F7FAFC"/>
            <w:tcMar>
              <w:top w:w="80" w:type="dxa"/>
              <w:bottom w:w="80" w:type="dxa"/>
              <w:left w:w="100" w:type="dxa"/>
              <w:right w:w="100" w:type="dxa"/>
            </w:tcMar>
          </w:tcPr>
          <w:p>
            <w:r>
              <w:rPr>
                <w:rFonts w:ascii="Arial" w:hAnsi="Arial"/>
                <w:b w:val="0"/>
                <w:i w:val="0"/>
                <w:color w:val="2D3748"/>
                <w:sz w:val="17"/>
              </w:rPr>
              <w:t>Tech Lead: Pooja (30h)</w:t>
              <w:br/>
              <w:t>Core Dev: Jaiadithya (30h)</w:t>
              <w:br/>
              <w:t>QA: Balachandra (20h)</w:t>
            </w:r>
          </w:p>
        </w:tc>
      </w:tr>
      <w:tr>
        <w:tc>
          <w:tcPr>
            <w:tcW w:type="dxa" w:w="3120"/>
            <w:shd w:fill="FFFFFF"/>
            <w:tcMar>
              <w:top w:w="80" w:type="dxa"/>
              <w:bottom w:w="80" w:type="dxa"/>
              <w:left w:w="100" w:type="dxa"/>
              <w:right w:w="100" w:type="dxa"/>
            </w:tcMar>
          </w:tcPr>
          <w:p>
            <w:r>
              <w:t>Approach Model</w:t>
            </w:r>
          </w:p>
        </w:tc>
        <w:tc>
          <w:tcPr>
            <w:tcW w:type="dxa" w:w="3120"/>
            <w:shd w:fill="FFFFFF"/>
            <w:tcMar>
              <w:top w:w="80" w:type="dxa"/>
              <w:bottom w:w="80" w:type="dxa"/>
              <w:left w:w="100" w:type="dxa"/>
              <w:right w:w="100" w:type="dxa"/>
            </w:tcMar>
          </w:tcPr>
          <w:p>
            <w:r>
              <w:t>Alternative A: Top-down, interface-led platform transformation with broad scaffolding across existing Node.js services.</w:t>
            </w:r>
          </w:p>
        </w:tc>
        <w:tc>
          <w:tcPr>
            <w:tcW w:type="dxa" w:w="3120"/>
            <w:shd w:fill="FFFFFF"/>
            <w:tcMar>
              <w:top w:w="80" w:type="dxa"/>
              <w:bottom w:w="80" w:type="dxa"/>
              <w:left w:w="100" w:type="dxa"/>
              <w:right w:w="100" w:type="dxa"/>
            </w:tcMar>
          </w:tcPr>
          <w:p>
            <w:r>
              <w:t>Alternative B: Decoupled, API-first action runtime engine with non-invasive epistemic memory and declarative domain packs.</w:t>
            </w:r>
          </w:p>
        </w:tc>
      </w:tr>
      <w:tr>
        <w:tc>
          <w:tcPr>
            <w:tcW w:type="dxa" w:w="3120"/>
            <w:shd w:fill="F7FAFC"/>
            <w:tcMar>
              <w:top w:w="80" w:type="dxa"/>
              <w:bottom w:w="80" w:type="dxa"/>
              <w:left w:w="100" w:type="dxa"/>
              <w:right w:w="100" w:type="dxa"/>
            </w:tcMar>
          </w:tcPr>
          <w:p>
            <w:r>
              <w:t>Scope &amp; Boundary</w:t>
            </w:r>
          </w:p>
        </w:tc>
        <w:tc>
          <w:tcPr>
            <w:tcW w:type="dxa" w:w="3120"/>
            <w:shd w:fill="F7FAFC"/>
            <w:tcMar>
              <w:top w:w="80" w:type="dxa"/>
              <w:bottom w:w="80" w:type="dxa"/>
              <w:left w:w="100" w:type="dxa"/>
              <w:right w:w="100" w:type="dxa"/>
            </w:tcMar>
          </w:tcPr>
          <w:p>
            <w:r>
              <w:t>Broad enterprise platform: Workbench UI overhaul, domain packs, multi-tenancy, CI/CD, SSO, model gateway within 80 hours.</w:t>
            </w:r>
          </w:p>
        </w:tc>
        <w:tc>
          <w:tcPr>
            <w:tcW w:type="dxa" w:w="3120"/>
            <w:shd w:fill="F7FAFC"/>
            <w:tcMar>
              <w:top w:w="80" w:type="dxa"/>
              <w:bottom w:w="80" w:type="dxa"/>
              <w:left w:w="100" w:type="dxa"/>
              <w:right w:w="100" w:type="dxa"/>
            </w:tcMar>
          </w:tcPr>
          <w:p>
            <w:r>
              <w:t>Strictly bounded prototype: Core action runtime, declarative domain packs, epistemic audit log, retrieval API; GUI and SSO deferred to roadmap.</w:t>
            </w:r>
          </w:p>
        </w:tc>
      </w:tr>
      <w:tr>
        <w:tc>
          <w:tcPr>
            <w:tcW w:type="dxa" w:w="3120"/>
            <w:shd w:fill="FFFFFF"/>
            <w:tcMar>
              <w:top w:w="80" w:type="dxa"/>
              <w:bottom w:w="80" w:type="dxa"/>
              <w:left w:w="100" w:type="dxa"/>
              <w:right w:w="100" w:type="dxa"/>
            </w:tcMar>
          </w:tcPr>
          <w:p>
            <w:r>
              <w:rPr>
                <w:rFonts w:ascii="Arial" w:hAnsi="Arial"/>
                <w:b/>
                <w:i w:val="0"/>
                <w:color w:val="2D3748"/>
                <w:sz w:val="17"/>
              </w:rPr>
              <w:t>Technology Stack</w:t>
            </w:r>
          </w:p>
        </w:tc>
        <w:tc>
          <w:tcPr>
            <w:tcW w:type="dxa" w:w="3120"/>
            <w:shd w:fill="FFFFFF"/>
            <w:tcMar>
              <w:top w:w="80" w:type="dxa"/>
              <w:bottom w:w="80" w:type="dxa"/>
              <w:left w:w="100" w:type="dxa"/>
              <w:right w:w="100" w:type="dxa"/>
            </w:tcMar>
          </w:tcPr>
          <w:p>
            <w:r>
              <w:rPr>
                <w:rFonts w:ascii="Arial" w:hAnsi="Arial"/>
                <w:b w:val="0"/>
                <w:i w:val="0"/>
                <w:color w:val="2D3748"/>
                <w:sz w:val="17"/>
              </w:rPr>
              <w:t>Node.js 22, TypeScript, pnpm,</w:t>
              <w:br/>
              <w:t>OpenSearch, PostgreSQL 16.</w:t>
            </w:r>
          </w:p>
        </w:tc>
        <w:tc>
          <w:tcPr>
            <w:tcW w:type="dxa" w:w="3120"/>
            <w:shd w:fill="FFFFFF"/>
            <w:tcMar>
              <w:top w:w="80" w:type="dxa"/>
              <w:bottom w:w="80" w:type="dxa"/>
              <w:left w:w="100" w:type="dxa"/>
              <w:right w:w="100" w:type="dxa"/>
            </w:tcMar>
          </w:tcPr>
          <w:p>
            <w:r>
              <w:rPr>
                <w:rFonts w:ascii="Arial" w:hAnsi="Arial"/>
                <w:b w:val="0"/>
                <w:i w:val="0"/>
                <w:color w:val="2D3748"/>
                <w:sz w:val="17"/>
              </w:rPr>
              <w:t>Python 3.10+, SQLite 3 (WAL),</w:t>
              <w:br/>
              <w:t>PostgreSQL 16+, D3.js, Electron 0.3.0.</w:t>
            </w:r>
          </w:p>
        </w:tc>
      </w:tr>
      <w:tr>
        <w:tc>
          <w:tcPr>
            <w:tcW w:type="dxa" w:w="3120"/>
            <w:shd w:fill="F7FAFC"/>
            <w:tcMar>
              <w:top w:w="80" w:type="dxa"/>
              <w:bottom w:w="80" w:type="dxa"/>
              <w:left w:w="100" w:type="dxa"/>
              <w:right w:w="100" w:type="dxa"/>
            </w:tcMar>
          </w:tcPr>
          <w:p>
            <w:r>
              <w:t>Database Strategy</w:t>
            </w:r>
          </w:p>
        </w:tc>
        <w:tc>
          <w:tcPr>
            <w:tcW w:type="dxa" w:w="3120"/>
            <w:shd w:fill="F7FAFC"/>
            <w:tcMar>
              <w:top w:w="80" w:type="dxa"/>
              <w:bottom w:w="80" w:type="dxa"/>
              <w:left w:w="100" w:type="dxa"/>
              <w:right w:w="100" w:type="dxa"/>
            </w:tcMar>
          </w:tcPr>
          <w:p>
            <w:r>
              <w:t>Excludes DB migrations; mechanism for state versioning, tenant isolation, and audit storage left undefined in proposal.</w:t>
            </w:r>
          </w:p>
        </w:tc>
        <w:tc>
          <w:tcPr>
            <w:tcW w:type="dxa" w:w="3120"/>
            <w:shd w:fill="F7FAFC"/>
            <w:tcMar>
              <w:top w:w="80" w:type="dxa"/>
              <w:bottom w:w="80" w:type="dxa"/>
              <w:left w:w="100" w:type="dxa"/>
              <w:right w:w="100" w:type="dxa"/>
            </w:tcMar>
          </w:tcPr>
          <w:p>
            <w:r>
              <w:t>Excludes DB migrations; solves audit, isolation, and versioning via application-level append-only Epistemic Event Logs and JSON-LD models.</w:t>
            </w:r>
          </w:p>
        </w:tc>
      </w:tr>
      <w:tr>
        <w:tc>
          <w:tcPr>
            <w:tcW w:type="dxa" w:w="3120"/>
            <w:shd w:fill="FFFFFF"/>
            <w:tcMar>
              <w:top w:w="80" w:type="dxa"/>
              <w:bottom w:w="80" w:type="dxa"/>
              <w:left w:w="100" w:type="dxa"/>
              <w:right w:w="100" w:type="dxa"/>
            </w:tcMar>
          </w:tcPr>
          <w:p>
            <w:r>
              <w:t>Domain Agility &amp; Memory</w:t>
            </w:r>
          </w:p>
        </w:tc>
        <w:tc>
          <w:tcPr>
            <w:tcW w:type="dxa" w:w="3120"/>
            <w:shd w:fill="FFFFFF"/>
            <w:tcMar>
              <w:top w:w="80" w:type="dxa"/>
              <w:bottom w:w="80" w:type="dxa"/>
              <w:left w:w="100" w:type="dxa"/>
              <w:right w:w="100" w:type="dxa"/>
            </w:tcMar>
          </w:tcPr>
          <w:p>
            <w:r>
              <w:t>High-level concept: Domain packs embedded in Node.js services; standard retrieval with potential hallucination risk.</w:t>
            </w:r>
          </w:p>
        </w:tc>
        <w:tc>
          <w:tcPr>
            <w:tcW w:type="dxa" w:w="3120"/>
            <w:shd w:fill="FFFFFF"/>
            <w:tcMar>
              <w:top w:w="80" w:type="dxa"/>
              <w:bottom w:w="80" w:type="dxa"/>
              <w:left w:w="100" w:type="dxa"/>
              <w:right w:w="100" w:type="dxa"/>
            </w:tcMar>
          </w:tcPr>
          <w:p>
            <w:r>
              <w:t>Mathematically grounded: Strict character-exact evidence coordinates, stance separation (Epistemic Disentanglement), and action receipts.</w:t>
            </w:r>
          </w:p>
        </w:tc>
      </w:tr>
      <w:tr>
        <w:tc>
          <w:tcPr>
            <w:tcW w:type="dxa" w:w="3120"/>
            <w:shd w:fill="F7FAFC"/>
            <w:tcMar>
              <w:top w:w="80" w:type="dxa"/>
              <w:bottom w:w="80" w:type="dxa"/>
              <w:left w:w="100" w:type="dxa"/>
              <w:right w:w="100" w:type="dxa"/>
            </w:tcMar>
          </w:tcPr>
          <w:p>
            <w:r>
              <w:t>Quality &amp; Evaluation</w:t>
            </w:r>
          </w:p>
        </w:tc>
        <w:tc>
          <w:tcPr>
            <w:tcW w:type="dxa" w:w="3120"/>
            <w:shd w:fill="F7FAFC"/>
            <w:tcMar>
              <w:top w:w="80" w:type="dxa"/>
              <w:bottom w:w="80" w:type="dxa"/>
              <w:left w:w="100" w:type="dxa"/>
              <w:right w:w="100" w:type="dxa"/>
            </w:tcMar>
          </w:tcPr>
          <w:p>
            <w:r>
              <w:t>High-level UAT and 85% precision target without specified sample sizes, recall floors, or service inventory.</w:t>
            </w:r>
          </w:p>
        </w:tc>
        <w:tc>
          <w:tcPr>
            <w:tcW w:type="dxa" w:w="3120"/>
            <w:shd w:fill="F7FAFC"/>
            <w:tcMar>
              <w:top w:w="80" w:type="dxa"/>
              <w:bottom w:w="80" w:type="dxa"/>
              <w:left w:w="100" w:type="dxa"/>
              <w:right w:w="100" w:type="dxa"/>
            </w:tcMar>
          </w:tcPr>
          <w:p>
            <w:r>
              <w:t>Rigorous comparative evaluation: 50-pair cross-temporal benchmark (≥85% precision, ≥75% recall), authenticated REST APIs, and 80h effort cap.</w:t>
            </w:r>
          </w:p>
        </w:tc>
      </w:tr>
    </w:tbl>
    <w:p>
      <w:pPr>
        <w:spacing w:after="120"/>
      </w:pPr>
    </w:p>
    <w:p>
      <w:pPr>
        <w:keepNext/>
        <w:spacing w:before="280" w:after="120"/>
      </w:pPr>
      <w:r>
        <w:rPr>
          <w:rFonts w:ascii="Arial" w:hAnsi="Arial"/>
          <w:b/>
          <w:i w:val="0"/>
          <w:color w:val="1A365D"/>
          <w:sz w:val="26"/>
        </w:rPr>
        <w:t>3. Deep-Dive: Key Technical &amp; Approach Differentiators</w:t>
      </w:r>
    </w:p>
    <w:p>
      <w:pPr>
        <w:keepNext/>
        <w:spacing w:before="280" w:after="120"/>
      </w:pPr>
      <w:r>
        <w:rPr>
          <w:rFonts w:ascii="Arial" w:hAnsi="Arial"/>
          <w:b/>
          <w:i w:val="0"/>
          <w:color w:val="1A365D"/>
          <w:sz w:val="22"/>
        </w:rPr>
        <w:t>3.1 The Evidence Grounding Invariant</w:t>
      </w:r>
    </w:p>
    <w:p>
      <w:pPr>
        <w:spacing w:before="0" w:after="80" w:line="276" w:lineRule="auto"/>
      </w:pPr>
      <w:r>
        <w:rPr>
          <w:rFonts w:ascii="Arial" w:hAnsi="Arial"/>
          <w:b w:val="0"/>
          <w:i w:val="0"/>
          <w:color w:val="2D3748"/>
          <w:sz w:val="19"/>
        </w:rPr>
        <w:t>Subteam 1's proposal talks about 'provable evidence' in abstract terms. In contrast, our team implemented a non-negotiable mathematical coordinate proof at the database ingestion boundary:</w:t>
      </w:r>
    </w:p>
    <w:p>
      <w:pPr>
        <w:spacing w:before="0" w:after="80" w:line="276" w:lineRule="auto"/>
      </w:pPr>
      <w:r>
        <w:rPr>
          <w:rFonts w:ascii="Arial" w:hAnsi="Arial"/>
          <w:b/>
          <w:i w:val="0"/>
          <w:color w:val="2D3748"/>
          <w:sz w:val="19"/>
        </w:rPr>
        <w:t xml:space="preserve">Invariant Proof: </w:t>
      </w:r>
      <w:r>
        <w:rPr>
          <w:rFonts w:ascii="Arial" w:hAnsi="Arial"/>
          <w:b w:val="0"/>
          <w:i/>
          <w:color w:val="2D3748"/>
          <w:sz w:val="19"/>
        </w:rPr>
        <w:t>source_text[start_char : end_char] == verbatim_quote</w:t>
      </w:r>
    </w:p>
    <w:p>
      <w:pPr>
        <w:spacing w:before="0" w:after="80" w:line="276" w:lineRule="auto"/>
      </w:pPr>
      <w:r>
        <w:rPr>
          <w:rFonts w:ascii="Arial" w:hAnsi="Arial"/>
          <w:b w:val="0"/>
          <w:i w:val="0"/>
          <w:color w:val="2D3748"/>
          <w:sz w:val="19"/>
        </w:rPr>
        <w:t>If an LLM hallucinates even a single punctuation mark, the Action Boundary raises an EvidenceSpanMismatchError and aborts the transaction before any dirty data can enter PostgreSQL or SQLite.</w:t>
      </w:r>
    </w:p>
    <w:p>
      <w:pPr>
        <w:keepNext/>
        <w:spacing w:before="280" w:after="120"/>
      </w:pPr>
      <w:r>
        <w:rPr>
          <w:rFonts w:ascii="Arial" w:hAnsi="Arial"/>
          <w:b/>
          <w:i w:val="0"/>
          <w:color w:val="1A365D"/>
          <w:sz w:val="22"/>
        </w:rPr>
        <w:t>3.2 Epistemic Disentanglement (AcceptMemory ≠ Agree)</w:t>
      </w:r>
    </w:p>
    <w:p>
      <w:pPr>
        <w:spacing w:before="0" w:after="80" w:line="276" w:lineRule="auto"/>
      </w:pPr>
      <w:r>
        <w:rPr>
          <w:rFonts w:ascii="Arial" w:hAnsi="Arial"/>
          <w:b w:val="0"/>
          <w:i w:val="0"/>
          <w:color w:val="2D3748"/>
          <w:sz w:val="19"/>
        </w:rPr>
        <w:t>A fatal flaw in standard RAG systems is conflating source claims with personal beliefs. Subteam 2 implemented a strict three-tier epistemic separation:</w:t>
      </w:r>
    </w:p>
    <w:p>
      <w:pPr>
        <w:spacing w:before="0" w:after="80" w:line="276" w:lineRule="auto"/>
      </w:pPr>
      <w:r>
        <w:rPr>
          <w:rFonts w:ascii="Arial" w:hAnsi="Arial"/>
          <w:b/>
          <w:i w:val="0"/>
          <w:color w:val="2D3748"/>
          <w:sz w:val="19"/>
        </w:rPr>
        <w:t xml:space="preserve">Epistemic Equation: </w:t>
      </w:r>
      <w:r>
        <w:rPr>
          <w:rFonts w:ascii="Arial" w:hAnsi="Arial"/>
          <w:b w:val="0"/>
          <w:i/>
          <w:color w:val="2D3748"/>
          <w:sz w:val="19"/>
        </w:rPr>
        <w:t>Source Claim  ≠  Memory Inclusion  ≠  Personal Stance</w:t>
      </w:r>
    </w:p>
    <w:p>
      <w:pPr>
        <w:pStyle w:val="ListBullet"/>
        <w:spacing w:before="0" w:after="60" w:line="276" w:lineRule="auto"/>
      </w:pPr>
      <w:r>
        <w:rPr>
          <w:rFonts w:ascii="Arial" w:hAnsi="Arial"/>
          <w:b/>
          <w:i w:val="0"/>
          <w:color w:val="2D3748"/>
          <w:sz w:val="19"/>
        </w:rPr>
        <w:t xml:space="preserve">Document Ingestion: </w:t>
      </w:r>
      <w:r>
        <w:rPr>
          <w:rFonts w:ascii="Arial" w:hAnsi="Arial"/>
          <w:b w:val="0"/>
          <w:i w:val="0"/>
          <w:color w:val="2D3748"/>
          <w:sz w:val="19"/>
        </w:rPr>
        <w:t>Users can store objective facts in the SOURCE_LIBRARY without endorsing them.</w:t>
      </w:r>
    </w:p>
    <w:p>
      <w:pPr>
        <w:pStyle w:val="ListBullet"/>
        <w:spacing w:before="0" w:after="60" w:line="276" w:lineRule="auto"/>
      </w:pPr>
      <w:r>
        <w:rPr>
          <w:rFonts w:ascii="Arial" w:hAnsi="Arial"/>
          <w:b/>
          <w:i w:val="0"/>
          <w:color w:val="2D3748"/>
          <w:sz w:val="19"/>
        </w:rPr>
        <w:t xml:space="preserve">Memory Inclusion: </w:t>
      </w:r>
      <w:r>
        <w:rPr>
          <w:rFonts w:ascii="Arial" w:hAnsi="Arial"/>
          <w:b w:val="0"/>
          <w:i w:val="0"/>
          <w:color w:val="2D3748"/>
          <w:sz w:val="19"/>
        </w:rPr>
        <w:t>Adding a claim to PERSONAL_MEMORY does not mean agreeing with it.</w:t>
      </w:r>
    </w:p>
    <w:p>
      <w:pPr>
        <w:pStyle w:val="ListBullet"/>
        <w:spacing w:before="0" w:after="60" w:line="276" w:lineRule="auto"/>
      </w:pPr>
      <w:r>
        <w:rPr>
          <w:rFonts w:ascii="Arial" w:hAnsi="Arial"/>
          <w:b/>
          <w:i w:val="0"/>
          <w:color w:val="2D3748"/>
          <w:sz w:val="19"/>
        </w:rPr>
        <w:t xml:space="preserve">Personal Stance: </w:t>
      </w:r>
      <w:r>
        <w:rPr>
          <w:rFonts w:ascii="Arial" w:hAnsi="Arial"/>
          <w:b w:val="0"/>
          <w:i w:val="0"/>
          <w:color w:val="2D3748"/>
          <w:sz w:val="19"/>
        </w:rPr>
        <w:t>The owner must explicitly attach a stance ('agree', 'question', 'disagree', 'undecided') with revision history. Automation is strictly forbidden from inventing user agreement.</w:t>
      </w:r>
    </w:p>
    <w:p>
      <w:pPr>
        <w:keepNext/>
        <w:spacing w:before="280" w:after="120"/>
      </w:pPr>
      <w:r>
        <w:rPr>
          <w:rFonts w:ascii="Arial" w:hAnsi="Arial"/>
          <w:b/>
          <w:i w:val="0"/>
          <w:color w:val="1A365D"/>
          <w:sz w:val="22"/>
        </w:rPr>
        <w:t>3.3 Kinetic Action Boundary &amp; CAS Idempotency</w:t>
      </w:r>
    </w:p>
    <w:p>
      <w:pPr>
        <w:spacing w:before="0" w:after="80" w:line="276" w:lineRule="auto"/>
      </w:pPr>
      <w:r>
        <w:rPr>
          <w:rFonts w:ascii="Arial" w:hAnsi="Arial"/>
          <w:b w:val="0"/>
          <w:i w:val="0"/>
          <w:color w:val="2D3748"/>
          <w:sz w:val="19"/>
        </w:rPr>
        <w:t>Rather than allowing direct database writes, Subteam 2 implemented Palantir-style Action Boundaries. Every mutation (CaptureSource, ExtractClaims, ReviewMemory, CurateEntity) requires an idempotency_key and an expected_revision. Concurrent or stale writes fail safely with HTTP 409 Conflict, and identical retries return cached receipts without side effects.</w:t>
      </w:r>
    </w:p>
    <w:p>
      <w:pPr>
        <w:keepNext/>
        <w:spacing w:before="280" w:after="120"/>
      </w:pPr>
      <w:r>
        <w:rPr>
          <w:rFonts w:ascii="Arial" w:hAnsi="Arial"/>
          <w:b/>
          <w:i w:val="0"/>
          <w:color w:val="1A365D"/>
          <w:sz w:val="22"/>
        </w:rPr>
        <w:t>3.4 Windows HTTP Streaming Socket Fix</w:t>
      </w:r>
    </w:p>
    <w:p>
      <w:pPr>
        <w:spacing w:before="0" w:after="80" w:line="276" w:lineRule="auto"/>
      </w:pPr>
      <w:r>
        <w:rPr>
          <w:rFonts w:ascii="Arial" w:hAnsi="Arial"/>
          <w:b w:val="0"/>
          <w:i w:val="0"/>
          <w:color w:val="2D3748"/>
          <w:sz w:val="19"/>
        </w:rPr>
        <w:t>Subteam 2 diagnosed and resolved a critical Winsock kernel bug in ontokb/api.py. On Windows, socket closure with unread buffers caused WinError 10054 resets on graph payloads larger than 120 KB. We upgraded the API to HTTP/1.1 persistent streaming with SO_LINGER protection and explicit stream flushing, guaranteeing rock-solid desktop reliability.</w:t>
      </w:r>
    </w:p>
    <w:p>
      <w:pPr>
        <w:keepNext/>
        <w:spacing w:before="280" w:after="120"/>
      </w:pPr>
      <w:r>
        <w:rPr>
          <w:rFonts w:ascii="Arial" w:hAnsi="Arial"/>
          <w:b/>
          <w:i w:val="0"/>
          <w:color w:val="1A365D"/>
          <w:sz w:val="26"/>
        </w:rPr>
        <w:t>4. Anticipated Leadership Questions &amp; Defense Answers for Pooja (Tech Lead)</w:t>
      </w:r>
    </w:p>
    <w:p>
      <w:pPr>
        <w:spacing w:before="0" w:after="80" w:line="276" w:lineRule="auto"/>
      </w:pPr>
      <w:r>
        <w:t>Question: Q1: 'Why do we have two subteams proposing the same OntoKb-E transformation? Isn't this duplicate work?'</w:t>
      </w:r>
    </w:p>
    <w:p>
      <w:pPr>
        <w:spacing w:before="0" w:after="160" w:line="276" w:lineRule="auto"/>
      </w:pPr>
      <w:r>
        <w:t>Answer for Pooja: 'Both teams are aiming to build the platform capabilities, but we are deliberately exploring two distinct architectural alternatives to determine what is most useful and feasible for Third Wave. Subteam 1 is evaluating an interface-led workbench approach (Alternative A), while Subteam 2 is evaluating a decoupled, action-centric runtime with an application-level epistemic memory layer (Alternative B). Testing two alternatives in parallel allows Third Wave to compare runtime performance, domain adaptability, and operational simplicity before committing to a permanent production architecture.'</w:t>
      </w:r>
    </w:p>
    <w:p>
      <w:pPr>
        <w:spacing w:before="0" w:after="80" w:line="276" w:lineRule="auto"/>
      </w:pPr>
      <w:r>
        <w:t>Question: Q2: 'Reviewers noted that 44 coding hours cannot build an entire enterprise platform. How is Subteam 2's 80-hour plan credible?'</w:t>
      </w:r>
    </w:p>
    <w:p>
      <w:pPr>
        <w:spacing w:before="0" w:after="160" w:line="276" w:lineRule="auto"/>
      </w:pPr>
      <w:r>
        <w:t>Answer for Pooja: 'The reviewers were completely right about unconstrained scope. That is why Subteam 2 strictly bounded Alternative B's mandatory scope to the core runtime: the action state-machine, the epistemic memory event log, and declarative domain ingestion. We explicitly deferred the heavy UI Workbench overhaul, commercial billing, and enterprise SSO federation to subsequent roadmap phases. By focusing on a developer-grade API-first prototype, our 44 hours of core development are tightly scoped, realistic, and achievable.'</w:t>
      </w:r>
    </w:p>
    <w:p>
      <w:pPr>
        <w:spacing w:before="0" w:after="80" w:line="276" w:lineRule="auto"/>
      </w:pPr>
      <w:r>
        <w:t>Question: Q3: 'How does Subteam 2 handle the PostgreSQL zero-migration constraint while supporting audit and tenant isolation?'</w:t>
      </w:r>
    </w:p>
    <w:p>
      <w:pPr>
        <w:spacing w:before="0" w:after="160" w:line="276" w:lineRule="auto"/>
      </w:pPr>
      <w:r>
        <w:t>Answer for Pooja: 'Modifying database tables is strictly out of scope. Subteam 2 solves this architecturally by treating state transitions and audit trails as an application-level append-only event stream (Epistemic Memory) and JSON-LD objects. Tenant isolation and object lifecycles are validated at the Action Boundary before persistence, achieving full enterprise auditability and multi-tenancy without touching PostgreSQL schemas, tables, or indexes.'</w:t>
      </w:r>
    </w:p>
    <w:p>
      <w:pPr>
        <w:spacing w:before="0" w:after="80" w:line="276" w:lineRule="auto"/>
      </w:pPr>
      <w:r>
        <w:t>Question: Q4: 'What is Balachandra's validation strategy in Phase 4?'</w:t>
      </w:r>
    </w:p>
    <w:p>
      <w:pPr>
        <w:spacing w:before="0" w:after="160" w:line="276" w:lineRule="auto"/>
      </w:pPr>
      <w:r>
        <w:t>Answer for Pooja / Balachandra: 'Phase 4 focuses on executing a rigorous comparative evaluation against our 50-pair benchmark dataset. Balachandra will evaluate entity linking precision and recall (targeting ≥85% precision and ≥75% recall), verify that tenant data isolation cannot be bypassed at the REST API layer, and validate that a completely new business domain can be onboarded through configuration alone with zero code defects.'</w:t>
      </w:r>
    </w:p>
    <w:p>
      <w:pPr>
        <w:spacing w:before="0" w:after="80" w:line="276" w:lineRule="auto"/>
      </w:pPr>
      <w:r>
        <w:t>Question: Q5: 'What are the measurable success criteria that prove Subteam 2's delivery?'</w:t>
      </w:r>
    </w:p>
    <w:p>
      <w:pPr>
        <w:spacing w:before="0" w:after="160" w:line="276" w:lineRule="auto"/>
      </w:pPr>
      <w:r>
        <w:t>Answer for Pooja: 'We commit to five strict quantitative targets in Table 8: (1) 100% execution of prototype test scenarios with zero blocking defects, (2) 0 Critical security vulnerabilities across all core REST endpoints with verified tenant isolation, (3) Onboarding a new business domain purely via configuration with zero core service code modifications, (4) ≥85% precision and ≥75% recall on a standardized 50-pair cross-temporal evaluation dataset, and (5) Strict adherence to the 80 person-hour and ¥27,500 budget ceilings.'</w:t>
      </w:r>
    </w:p>
    <w:p>
      <w:pPr>
        <w:keepNext/>
        <w:spacing w:before="280" w:after="120"/>
      </w:pPr>
      <w:r>
        <w:rPr>
          <w:rFonts w:ascii="Arial" w:hAnsi="Arial"/>
          <w:b/>
          <w:i w:val="0"/>
          <w:color w:val="1A365D"/>
          <w:sz w:val="26"/>
        </w:rPr>
        <w:t>5. Individual Team Member Talking Points</w:t>
      </w:r>
    </w:p>
    <w:p>
      <w:pPr>
        <w:spacing w:before="0" w:after="80" w:line="276" w:lineRule="auto"/>
      </w:pPr>
      <w:r>
        <w:t>Pooja (Project Leader / Tech Lead — 30h Allocation):</w:t>
        <w:br/>
        <w:t>• Core Message: 'My focus is architectural design, domain ontology modeling, and ensuring Alternative B proves its practical value against the comparative benchmark.'</w:t>
        <w:br/>
        <w:t>• Key Talking Point: 'We deliberately decoupled the action runtime from user interface concerns. This guarantees that new business domains can be onboarded purely through YAML/JSON schemas, cutting domain onboarding time from weeks to hours without risky core code changes.'</w:t>
      </w:r>
    </w:p>
    <w:p>
      <w:pPr>
        <w:pStyle w:val="ListBullet"/>
        <w:spacing w:before="0" w:after="60" w:line="276" w:lineRule="auto"/>
      </w:pPr>
      <w:r>
        <w:t>Jaiadithya (Core Developer — 30h Allocation):</w:t>
        <w:br/>
        <w:t>• Core Message: 'I am responsible for implementing the core action runtime, epistemic memory layer, and API integration endpoints.'</w:t>
        <w:br/>
        <w:t>• Key Talking Point: 'Our architecture enforces state-machine validity and audit logging in-process before any database call. By leveraging an append-only event log and JSON-LD models, we satisfy tenant isolation and audit requirements while strictly honoring the zero-schema-change PostgreSQL constraint.'</w:t>
      </w:r>
    </w:p>
    <w:p>
      <w:pPr>
        <w:pStyle w:val="ListBullet"/>
        <w:spacing w:before="0" w:after="60" w:line="276" w:lineRule="auto"/>
      </w:pPr>
      <w:r>
        <w:t>Balachandra (QA Engineer — 20h Allocation):</w:t>
        <w:br/>
        <w:t>• Core Message: 'I am responsible for quality verification, benchmark test execution, tenant isolation validation, and comparative reporting.'</w:t>
        <w:br/>
        <w:t>• Key Talking Point: 'We are evaluating Alternative B against a rigorous 50-pair benchmark covering normal, multi-hop, and contradictory scenarios. We don't just measure precision; we also hold a 75% recall floor and verify security boundary predicates across all service endpoints.'</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Emphasize readiness for immediate UAT sign-off and stakeholder demonstration.</w:t>
      </w:r>
    </w:p>
    <w:p>
      <w:pPr>
        <w:spacing w:before="0" w:after="80" w:line="276" w:lineRule="auto"/>
      </w:pPr>
      <w:r>
        <w:rPr>
          <w:rFonts w:ascii="Arial" w:hAnsi="Arial"/>
          <w:b/>
          <w:i w:val="0"/>
          <w:color w:val="2D3748"/>
          <w:sz w:val="19"/>
        </w:rPr>
        <w:t xml:space="preserve">• </w:t>
      </w:r>
      <w:r>
        <w:rPr>
          <w:rFonts w:ascii="Arial" w:hAnsi="Arial"/>
          <w:b w:val="0"/>
          <w:i w:val="0"/>
          <w:color w:val="2D3748"/>
          <w:sz w:val="19"/>
        </w:rPr>
        <w:t>Jaiadithya (Core Developer — 30 Hours):</w:t>
      </w:r>
    </w:p>
    <w:p>
      <w:pPr>
        <w:pStyle w:val="ListBullet"/>
        <w:spacing w:before="0" w:after="60" w:line="276" w:lineRule="auto"/>
      </w:pPr>
      <w:r>
        <w:rPr>
          <w:rFonts w:ascii="Arial" w:hAnsi="Arial"/>
          <w:b/>
          <w:i w:val="0"/>
          <w:color w:val="2D3748"/>
          <w:sz w:val="19"/>
        </w:rPr>
        <w:t xml:space="preserve">Scope: </w:t>
      </w:r>
      <w:r>
        <w:rPr>
          <w:rFonts w:ascii="Arial" w:hAnsi="Arial"/>
          <w:b w:val="0"/>
          <w:i w:val="0"/>
          <w:color w:val="2D3748"/>
          <w:sz w:val="19"/>
        </w:rPr>
        <w:t>Owns the core action runtime, ontology state machine, evidence span proofing, and API streaming.</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Can explain exact code mechanics: the regex character span matcher, CAS optimistic locking, and Windows SO_LINGER socket streaming.</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Can demonstrate the live Web UI (port 8765 / port 8000), D3 graph canvas, and GitHub repository sync.</w:t>
      </w:r>
    </w:p>
    <w:p>
      <w:pPr>
        <w:spacing w:before="0" w:after="80" w:line="276" w:lineRule="auto"/>
      </w:pPr>
      <w:r>
        <w:rPr>
          <w:rFonts w:ascii="Arial" w:hAnsi="Arial"/>
          <w:b/>
          <w:i w:val="0"/>
          <w:color w:val="2D3748"/>
          <w:sz w:val="19"/>
        </w:rPr>
        <w:t xml:space="preserve">• </w:t>
      </w:r>
      <w:r>
        <w:rPr>
          <w:rFonts w:ascii="Arial" w:hAnsi="Arial"/>
          <w:b w:val="0"/>
          <w:i w:val="0"/>
          <w:color w:val="2D3748"/>
          <w:sz w:val="19"/>
        </w:rPr>
        <w:t>Balachandra (QA &amp; Verification Engineer — 20 Hours):</w:t>
      </w:r>
    </w:p>
    <w:p>
      <w:pPr>
        <w:pStyle w:val="ListBullet"/>
        <w:spacing w:before="0" w:after="60" w:line="276" w:lineRule="auto"/>
      </w:pPr>
      <w:r>
        <w:rPr>
          <w:rFonts w:ascii="Arial" w:hAnsi="Arial"/>
          <w:b/>
          <w:i w:val="0"/>
          <w:color w:val="2D3748"/>
          <w:sz w:val="19"/>
        </w:rPr>
        <w:t xml:space="preserve">Scope: </w:t>
      </w:r>
      <w:r>
        <w:rPr>
          <w:rFonts w:ascii="Arial" w:hAnsi="Arial"/>
          <w:b w:val="0"/>
          <w:i w:val="0"/>
          <w:color w:val="2D3748"/>
          <w:sz w:val="19"/>
        </w:rPr>
        <w:t>Owns test suite planning, benchmark datasets, defect tracking, and security/UAT sign-off.</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Highlight our 100% automated test pass rate across 297 tests (267 in OntoKB v2 + 30 in LOGOS integration).</w:t>
      </w:r>
    </w:p>
    <w:p>
      <w:pPr>
        <w:pStyle w:val="ListBullet"/>
        <w:spacing w:before="0" w:after="60" w:line="276" w:lineRule="auto"/>
      </w:pPr>
      <w:r>
        <w:rPr>
          <w:rFonts w:ascii="Arial" w:hAnsi="Arial"/>
          <w:b/>
          <w:i w:val="0"/>
          <w:color w:val="2D3748"/>
          <w:sz w:val="19"/>
        </w:rPr>
        <w:t xml:space="preserve">Talking Point: </w:t>
      </w:r>
      <w:r>
        <w:rPr>
          <w:rFonts w:ascii="Arial" w:hAnsi="Arial"/>
          <w:b w:val="0"/>
          <w:i w:val="0"/>
          <w:color w:val="2D3748"/>
          <w:sz w:val="19"/>
        </w:rPr>
        <w:t>Cite our empirical Gate G2 benchmark: 100% evidence grounding precision, 0.0% epistemic leakage, and sub-15ms query overhead.</w:t>
      </w:r>
    </w:p>
    <w:p>
      <w:pPr>
        <w:keepNext/>
        <w:spacing w:before="280" w:after="120"/>
      </w:pPr>
      <w:r>
        <w:rPr>
          <w:rFonts w:ascii="Arial" w:hAnsi="Arial"/>
          <w:b/>
          <w:i w:val="0"/>
          <w:color w:val="1A365D"/>
          <w:sz w:val="26"/>
        </w:rPr>
        <w:t>6. Key Architectural Glossary for Review Meetings</w:t>
      </w:r>
    </w:p>
    <w:p>
      <w:pPr>
        <w:pStyle w:val="ListBullet"/>
        <w:spacing w:before="0" w:after="60" w:line="276" w:lineRule="auto"/>
      </w:pPr>
      <w:r>
        <w:rPr>
          <w:rFonts w:ascii="Arial" w:hAnsi="Arial"/>
          <w:b/>
          <w:i w:val="0"/>
          <w:color w:val="2D3748"/>
          <w:sz w:val="19"/>
        </w:rPr>
        <w:t xml:space="preserve">Epistemic Disentanglement: </w:t>
      </w:r>
      <w:r>
        <w:rPr>
          <w:rFonts w:ascii="Arial" w:hAnsi="Arial"/>
          <w:b w:val="0"/>
          <w:i w:val="0"/>
          <w:color w:val="2D3748"/>
          <w:sz w:val="19"/>
        </w:rPr>
        <w:t>The cognitive separation between objective facts stated in external sources and the personal beliefs/stances held by human knowledge workers.</w:t>
      </w:r>
    </w:p>
    <w:p>
      <w:pPr>
        <w:pStyle w:val="ListBullet"/>
        <w:spacing w:before="0" w:after="60" w:line="276" w:lineRule="auto"/>
      </w:pPr>
      <w:r>
        <w:rPr>
          <w:rFonts w:ascii="Arial" w:hAnsi="Arial"/>
          <w:b/>
          <w:i w:val="0"/>
          <w:color w:val="2D3748"/>
          <w:sz w:val="19"/>
        </w:rPr>
        <w:t xml:space="preserve">Action Boundary: </w:t>
      </w:r>
      <w:r>
        <w:rPr>
          <w:rFonts w:ascii="Arial" w:hAnsi="Arial"/>
          <w:b w:val="0"/>
          <w:i w:val="0"/>
          <w:color w:val="2D3748"/>
          <w:sz w:val="19"/>
        </w:rPr>
        <w:t>A gatekeeping architectural layer that intercepts all agent and user mutation requests, verifying schemas, authorization, and character coordinates before writing to disk.</w:t>
      </w:r>
    </w:p>
    <w:p>
      <w:pPr>
        <w:pStyle w:val="ListBullet"/>
        <w:spacing w:before="0" w:after="60" w:line="276" w:lineRule="auto"/>
      </w:pPr>
      <w:r>
        <w:rPr>
          <w:rFonts w:ascii="Arial" w:hAnsi="Arial"/>
          <w:b/>
          <w:i w:val="0"/>
          <w:color w:val="2D3748"/>
          <w:sz w:val="19"/>
        </w:rPr>
        <w:t xml:space="preserve">Evidence Span: </w:t>
      </w:r>
      <w:r>
        <w:rPr>
          <w:rFonts w:ascii="Arial" w:hAnsi="Arial"/>
          <w:b w:val="0"/>
          <w:i w:val="0"/>
          <w:color w:val="2D3748"/>
          <w:sz w:val="19"/>
        </w:rPr>
        <w:t>An immutable database record storing the exact start_char and end_char coordinate offsets of a verbatim quote inside an immutable source document snapshot.</w:t>
      </w:r>
    </w:p>
    <w:p>
      <w:pPr>
        <w:pStyle w:val="ListBullet"/>
        <w:spacing w:before="0" w:after="60" w:line="276" w:lineRule="auto"/>
      </w:pPr>
      <w:r>
        <w:rPr>
          <w:rFonts w:ascii="Arial" w:hAnsi="Arial"/>
          <w:b/>
          <w:i w:val="0"/>
          <w:color w:val="2D3748"/>
          <w:sz w:val="19"/>
        </w:rPr>
        <w:t xml:space="preserve">Compare-And-Swap (CAS): </w:t>
      </w:r>
      <w:r>
        <w:rPr>
          <w:rFonts w:ascii="Arial" w:hAnsi="Arial"/>
          <w:b w:val="0"/>
          <w:i w:val="0"/>
          <w:color w:val="2D3748"/>
          <w:sz w:val="19"/>
        </w:rPr>
        <w:t>An optimistic concurrency control technique where mutations supply an expected_revision number, preventing silent overwrite of human edits by automated AI runs.</w:t>
      </w:r>
    </w:p>
    <w:p>
      <w:pPr>
        <w:pStyle w:val="ListBullet"/>
        <w:spacing w:before="0" w:after="60" w:line="276" w:lineRule="auto"/>
      </w:pPr>
      <w:r>
        <w:rPr>
          <w:rFonts w:ascii="Arial" w:hAnsi="Arial"/>
          <w:b/>
          <w:i w:val="0"/>
          <w:color w:val="2D3748"/>
          <w:sz w:val="19"/>
        </w:rPr>
        <w:t xml:space="preserve">Domain Pack: </w:t>
      </w:r>
      <w:r>
        <w:rPr>
          <w:rFonts w:ascii="Arial" w:hAnsi="Arial"/>
          <w:b w:val="0"/>
          <w:i w:val="0"/>
          <w:color w:val="2D3748"/>
          <w:sz w:val="19"/>
        </w:rPr>
        <w:t>A self-contained, domain-neutral configuration bundle defining entity types, state lifecycles, and validation rules for a specific business unit without changing core code.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